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6"/>
        <w:tabs>
          <w:tab w:val="left" w:pos="1580"/>
          <w:tab w:val="left" w:pos="2680"/>
          <w:tab w:val="clear" w:pos="1800"/>
          <w:tab w:val="clear" w:pos="9360"/>
        </w:tabs>
        <w:snapToGrid w:val="0"/>
        <w:rPr>
          <w:rFonts w:cs="Arial"/>
          <w:sz w:val="22"/>
        </w:rPr>
      </w:pPr>
      <w:bookmarkStart w:id="0" w:name="OLE_LINK2"/>
      <w:bookmarkStart w:id="1" w:name="OLE_LINK1"/>
      <w:r>
        <w:rPr>
          <w:rFonts w:cs="Arial"/>
          <w:sz w:val="22"/>
        </w:rPr>
        <w:t>3GPP TSG RAN WG1</w:t>
      </w:r>
      <w:r>
        <w:rPr>
          <w:rFonts w:hint="eastAsia" w:cs="Arial"/>
          <w:sz w:val="22"/>
        </w:rPr>
        <w:t xml:space="preserve"> </w:t>
      </w:r>
      <w:r>
        <w:rPr>
          <w:rFonts w:cs="Arial"/>
          <w:sz w:val="22"/>
        </w:rPr>
        <w:t>#1</w:t>
      </w:r>
      <w:r>
        <w:rPr>
          <w:rFonts w:hint="eastAsia" w:cs="Arial"/>
          <w:sz w:val="22"/>
        </w:rPr>
        <w:t>22</w:t>
      </w:r>
      <w:r>
        <w:rPr>
          <w:rFonts w:cs="Arial"/>
          <w:sz w:val="22"/>
        </w:rPr>
        <w:t xml:space="preserve">                                             </w:t>
      </w:r>
      <w:r>
        <w:rPr>
          <w:rFonts w:hint="eastAsia" w:cs="Arial"/>
          <w:sz w:val="22"/>
        </w:rPr>
        <w:t xml:space="preserve">   </w:t>
      </w:r>
      <w:bookmarkStart w:id="7" w:name="_GoBack"/>
      <w:bookmarkEnd w:id="7"/>
      <w:r>
        <w:rPr>
          <w:rFonts w:cs="Arial"/>
          <w:sz w:val="22"/>
        </w:rPr>
        <w:t>R1-</w:t>
      </w:r>
      <w:r>
        <w:t xml:space="preserve"> </w:t>
      </w:r>
      <w:r>
        <w:rPr>
          <w:rFonts w:cs="Arial"/>
          <w:sz w:val="22"/>
        </w:rPr>
        <w:t>2505501</w:t>
      </w:r>
    </w:p>
    <w:p>
      <w:pPr>
        <w:rPr>
          <w:rFonts w:ascii="Arial" w:hAnsi="Arial" w:eastAsia="宋体" w:cs="Arial"/>
          <w:b/>
          <w:kern w:val="2"/>
        </w:rPr>
      </w:pPr>
      <w:r>
        <w:rPr>
          <w:rFonts w:hint="eastAsia" w:ascii="Arial" w:hAnsi="Arial" w:eastAsia="宋体" w:cs="Arial"/>
          <w:b/>
          <w:bCs/>
          <w:kern w:val="2"/>
        </w:rPr>
        <w:t>Bengaluru, India, Aug 25</w:t>
      </w:r>
      <w:r>
        <w:rPr>
          <w:rFonts w:hint="eastAsia" w:ascii="Arial" w:hAnsi="Arial" w:eastAsia="宋体" w:cs="Arial"/>
          <w:b/>
          <w:bCs/>
          <w:kern w:val="2"/>
          <w:vertAlign w:val="superscript"/>
        </w:rPr>
        <w:t>th</w:t>
      </w:r>
      <w:r>
        <w:rPr>
          <w:rFonts w:hint="eastAsia" w:ascii="Arial" w:hAnsi="Arial" w:eastAsia="宋体" w:cs="Arial"/>
          <w:b/>
          <w:bCs/>
          <w:kern w:val="2"/>
        </w:rPr>
        <w:t xml:space="preserve"> </w:t>
      </w:r>
      <w:r>
        <w:rPr>
          <w:rFonts w:ascii="Arial" w:hAnsi="Arial" w:eastAsia="宋体" w:cs="Arial"/>
          <w:b/>
          <w:bCs/>
          <w:kern w:val="2"/>
        </w:rPr>
        <w:t xml:space="preserve">– </w:t>
      </w:r>
      <w:r>
        <w:rPr>
          <w:rFonts w:hint="eastAsia" w:ascii="Arial" w:hAnsi="Arial" w:eastAsia="宋体" w:cs="Arial"/>
          <w:b/>
          <w:bCs/>
          <w:kern w:val="2"/>
        </w:rPr>
        <w:t>29</w:t>
      </w:r>
      <w:r>
        <w:rPr>
          <w:rFonts w:hint="eastAsia" w:ascii="Arial" w:hAnsi="Arial" w:eastAsia="宋体" w:cs="Arial"/>
          <w:b/>
          <w:bCs/>
          <w:kern w:val="2"/>
          <w:vertAlign w:val="superscript"/>
        </w:rPr>
        <w:t>th</w:t>
      </w:r>
      <w:r>
        <w:rPr>
          <w:rFonts w:ascii="Arial" w:hAnsi="Arial" w:eastAsia="宋体" w:cs="Arial"/>
          <w:b/>
          <w:bCs/>
          <w:kern w:val="2"/>
        </w:rPr>
        <w:t>,</w:t>
      </w:r>
      <w:r>
        <w:rPr>
          <w:rFonts w:ascii="Arial" w:hAnsi="Arial" w:eastAsia="宋体" w:cs="Arial"/>
          <w:b/>
          <w:kern w:val="2"/>
        </w:rPr>
        <w:t xml:space="preserve"> 202</w:t>
      </w:r>
      <w:r>
        <w:rPr>
          <w:rFonts w:hint="eastAsia" w:ascii="Arial" w:hAnsi="Arial" w:eastAsia="宋体" w:cs="Arial"/>
          <w:b/>
          <w:kern w:val="2"/>
        </w:rPr>
        <w:t>5</w:t>
      </w:r>
    </w:p>
    <w:p>
      <w:pPr>
        <w:pStyle w:val="26"/>
        <w:tabs>
          <w:tab w:val="left" w:pos="1580"/>
          <w:tab w:val="left" w:pos="2680"/>
          <w:tab w:val="clear" w:pos="1800"/>
          <w:tab w:val="clear" w:pos="9360"/>
        </w:tabs>
        <w:snapToGrid w:val="0"/>
        <w:rPr>
          <w:rFonts w:cs="Arial"/>
          <w:sz w:val="22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</w:r>
      <w:r>
        <w:rPr>
          <w:rFonts w:cs="Arial"/>
          <w:sz w:val="22"/>
        </w:rPr>
        <w:t>ZTE</w:t>
      </w:r>
      <w:r>
        <w:rPr>
          <w:rFonts w:hint="eastAsia" w:cs="Arial"/>
          <w:sz w:val="22"/>
        </w:rPr>
        <w:t xml:space="preserve"> Corporation, Sanechips</w:t>
      </w:r>
    </w:p>
    <w:p>
      <w:pPr>
        <w:pStyle w:val="26"/>
        <w:tabs>
          <w:tab w:val="left" w:pos="1580"/>
          <w:tab w:val="left" w:pos="2680"/>
          <w:tab w:val="clear" w:pos="1800"/>
          <w:tab w:val="clear" w:pos="9360"/>
        </w:tabs>
        <w:snapToGrid w:val="0"/>
        <w:rPr>
          <w:rFonts w:cs="Arial"/>
          <w:sz w:val="22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</w:r>
      <w:r>
        <w:rPr>
          <w:rFonts w:cs="Arial"/>
          <w:sz w:val="22"/>
        </w:rPr>
        <w:t>Remaining issues on RedCap/eRedCap UEs for NR NTN</w:t>
      </w:r>
    </w:p>
    <w:p>
      <w:pPr>
        <w:pStyle w:val="26"/>
        <w:tabs>
          <w:tab w:val="left" w:pos="1580"/>
          <w:tab w:val="left" w:pos="2680"/>
          <w:tab w:val="clear" w:pos="1800"/>
          <w:tab w:val="clear" w:pos="9360"/>
        </w:tabs>
        <w:snapToGrid w:val="0"/>
        <w:rPr>
          <w:rFonts w:cs="Arial"/>
          <w:sz w:val="22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</w:r>
      <w:r>
        <w:rPr>
          <w:rFonts w:hint="eastAsia" w:cs="Arial"/>
          <w:sz w:val="22"/>
        </w:rPr>
        <w:t>8</w:t>
      </w:r>
      <w:r>
        <w:rPr>
          <w:rFonts w:cs="Arial"/>
          <w:sz w:val="22"/>
        </w:rPr>
        <w:t>.11.2</w:t>
      </w:r>
    </w:p>
    <w:p>
      <w:pPr>
        <w:pBdr>
          <w:bottom w:val="single" w:color="auto" w:sz="6" w:space="1"/>
        </w:pBdr>
        <w:snapToGrid w:val="0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Document for: Discussion</w:t>
      </w:r>
      <w:bookmarkEnd w:id="0"/>
      <w:bookmarkEnd w:id="1"/>
    </w:p>
    <w:p>
      <w:pPr>
        <w:pStyle w:val="2"/>
        <w:keepNext w:val="0"/>
        <w:keepLines w:val="0"/>
        <w:widowControl w:val="0"/>
        <w:numPr>
          <w:ilvl w:val="0"/>
          <w:numId w:val="3"/>
        </w:numPr>
        <w:pBdr>
          <w:top w:val="none" w:color="auto" w:sz="0" w:space="0"/>
        </w:pBdr>
        <w:tabs>
          <w:tab w:val="left" w:pos="432"/>
        </w:tabs>
        <w:overflowPunct/>
        <w:snapToGrid w:val="0"/>
        <w:spacing w:before="120" w:beforeLines="50" w:after="120" w:afterLines="5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bookmarkStart w:id="2" w:name="_Ref18181"/>
      <w:r>
        <w:rPr>
          <w:rFonts w:hint="eastAsia" w:eastAsia="黑体" w:cs="Times New Roman"/>
          <w:b/>
          <w:bCs/>
          <w:sz w:val="28"/>
          <w:szCs w:val="30"/>
          <w:lang w:val="en-US"/>
        </w:rPr>
        <w:t>Introduction</w:t>
      </w:r>
      <w:bookmarkEnd w:id="2"/>
    </w:p>
    <w:p>
      <w:pPr>
        <w:numPr>
          <w:ilvl w:val="7"/>
          <w:numId w:val="0"/>
        </w:numPr>
        <w:spacing w:after="120" w:afterLines="50" w:line="240" w:lineRule="auto"/>
        <w:jc w:val="both"/>
        <w:rPr>
          <w:rFonts w:ascii="Times New Roman" w:hAnsi="Times New Roman" w:eastAsia="宋体" w:cs="Times New Roman"/>
          <w:sz w:val="20"/>
          <w:szCs w:val="20"/>
        </w:rPr>
      </w:pPr>
      <w:r>
        <w:rPr>
          <w:rFonts w:hint="eastAsia" w:ascii="Times New Roman" w:hAnsi="Times New Roman" w:eastAsia="宋体" w:cs="Times New Roman"/>
          <w:sz w:val="20"/>
          <w:szCs w:val="20"/>
        </w:rPr>
        <w:t>In this contribution, the remaining issues for the support of (e)RedCap UEs for NR NTN are discussed.</w:t>
      </w:r>
    </w:p>
    <w:p>
      <w:pPr>
        <w:pStyle w:val="2"/>
        <w:keepNext w:val="0"/>
        <w:keepLines w:val="0"/>
        <w:widowControl w:val="0"/>
        <w:numPr>
          <w:ilvl w:val="0"/>
          <w:numId w:val="3"/>
        </w:numPr>
        <w:pBdr>
          <w:top w:val="none" w:color="auto" w:sz="0" w:space="0"/>
        </w:pBdr>
        <w:tabs>
          <w:tab w:val="left" w:pos="432"/>
        </w:tabs>
        <w:overflowPunct/>
        <w:snapToGrid w:val="0"/>
        <w:spacing w:before="192" w:beforeLines="80" w:after="120" w:afterLines="50" w:line="260" w:lineRule="auto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eastAsia="黑体" w:cs="Times New Roman"/>
          <w:b/>
          <w:bCs/>
          <w:sz w:val="28"/>
          <w:szCs w:val="30"/>
          <w:lang w:val="en-US"/>
        </w:rPr>
        <w:t xml:space="preserve">Discussion on </w:t>
      </w:r>
      <w:r>
        <w:rPr>
          <w:rFonts w:hint="eastAsia" w:eastAsia="黑体" w:cs="Times New Roman"/>
          <w:b/>
          <w:bCs/>
          <w:sz w:val="28"/>
          <w:szCs w:val="30"/>
          <w:lang w:val="en-US"/>
        </w:rPr>
        <w:t>HD-FDD collision cases 3 and 4</w:t>
      </w:r>
    </w:p>
    <w:p>
      <w:pPr>
        <w:numPr>
          <w:ilvl w:val="7"/>
          <w:numId w:val="0"/>
        </w:numPr>
        <w:spacing w:before="192" w:beforeLines="80" w:after="192" w:afterLines="80" w:line="240" w:lineRule="auto"/>
        <w:jc w:val="both"/>
        <w:outlineLvl w:val="1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2.1 HD-FDD collision case 4</w:t>
      </w:r>
    </w:p>
    <w:p>
      <w:pPr>
        <w:numPr>
          <w:ilvl w:val="7"/>
          <w:numId w:val="0"/>
        </w:numPr>
        <w:spacing w:after="120" w:afterLines="50" w:line="240" w:lineRule="auto"/>
        <w:jc w:val="both"/>
        <w:rPr>
          <w:rFonts w:ascii="Times New Roman" w:hAnsi="Times New Roman" w:eastAsia="宋体" w:cs="Times New Roman"/>
          <w:sz w:val="20"/>
          <w:szCs w:val="20"/>
        </w:rPr>
      </w:pPr>
      <w:r>
        <w:rPr>
          <w:rFonts w:ascii="Times New Roman" w:hAnsi="Times New Roman" w:eastAsia="宋体" w:cs="Times New Roman"/>
          <w:sz w:val="20"/>
          <w:szCs w:val="20"/>
        </w:rPr>
        <w:t>In RAN1#121 meeting, RAN1 has updated and then confirmed the working assumption for collision case 4 as follows</w:t>
      </w:r>
      <w:r>
        <w:rPr>
          <w:rFonts w:hint="eastAsia" w:ascii="Times New Roman" w:hAnsi="Times New Roman" w:eastAsia="宋体" w:cs="Times New Roman"/>
          <w:sz w:val="20"/>
          <w:szCs w:val="20"/>
        </w:rPr>
        <w:t xml:space="preserve"> [1]</w:t>
      </w:r>
      <w:r>
        <w:rPr>
          <w:rFonts w:ascii="Times New Roman" w:hAnsi="Times New Roman" w:eastAsia="宋体" w:cs="Times New Roman"/>
          <w:sz w:val="20"/>
          <w:szCs w:val="20"/>
        </w:rPr>
        <w:t>: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6" w:type="dxa"/>
          </w:tcPr>
          <w:p>
            <w:pPr>
              <w:rPr>
                <w:rFonts w:ascii="Times New Roman" w:hAnsi="Times New Roman" w:eastAsia="宋体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sz w:val="20"/>
                <w:szCs w:val="20"/>
                <w:highlight w:val="green"/>
              </w:rPr>
              <w:t>Agreement</w:t>
            </w:r>
          </w:p>
          <w:p>
            <w:pPr>
              <w:rPr>
                <w:rFonts w:ascii="Times New Roman" w:hAnsi="Times New Roman" w:eastAsia="宋体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sz w:val="20"/>
                <w:szCs w:val="20"/>
              </w:rPr>
              <w:t>Confirm working assumption in RAN1 #120b with the following update:</w:t>
            </w:r>
          </w:p>
          <w:p>
            <w:pPr>
              <w:overflowPunct w:val="0"/>
              <w:autoSpaceDE w:val="0"/>
              <w:autoSpaceDN w:val="0"/>
              <w:adjustRightInd w:val="0"/>
              <w:spacing w:line="256" w:lineRule="auto"/>
              <w:contextualSpacing/>
              <w:textAlignment w:val="baseline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For Rel-19 NTN HD-FDD (e)Redcap UE in RRC connected mode, the following handling rule for collision case 4 is supported:</w:t>
            </w:r>
          </w:p>
          <w:p>
            <w:pPr>
              <w:pStyle w:val="32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Chars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Handling of collision with PDSCH scheduled by Type-0/0A-PDCCH CSS</w:t>
            </w: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 RRC-Connected mode is left to UE implementation whether to prioritize UL or prioritize DL with the constraint in the note</w:t>
            </w: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>
            <w:pPr>
              <w:pStyle w:val="32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Chars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Handling of collision with PDSCH scheduled by Type-1/2-PDCCH CSS</w:t>
            </w: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 RRC-Connected mode is left to UE implementation whether to prioritize UL or prioritize DL with the constraint in the note</w:t>
            </w: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>
            <w:pPr>
              <w:pStyle w:val="32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Chars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When PDCCH ordered PRACH transmission collides with DL reception, it is up to UE implementation whether to prioritize the PDCCH ordered PRACH transmission</w:t>
            </w:r>
          </w:p>
          <w:p>
            <w:pPr>
              <w:pStyle w:val="32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Chars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For other use cases, default priority rule for collision case 4 in RRC-Connected mode is that DL is prioritized.</w:t>
            </w:r>
          </w:p>
          <w:p>
            <w:pPr>
              <w:pStyle w:val="32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Chars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Network is allowed to indicate</w:t>
            </w: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UL overriding DL for all these other cases</w:t>
            </w:r>
          </w:p>
          <w:p>
            <w:pPr>
              <w:pStyle w:val="32"/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Chars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This is signaled by one UE specific RRC parameter</w:t>
            </w:r>
          </w:p>
          <w:p>
            <w:pPr>
              <w:pStyle w:val="32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Chars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 DL is prioritized, the DL prioritization applies only if the UL cancellation timeline can be satisfied, otherwise UL is prioritized.</w:t>
            </w:r>
          </w:p>
          <w:p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Note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UE shall comply to the following existing procedure in 38.331:</w:t>
            </w:r>
          </w:p>
          <w:p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line="256" w:lineRule="auto"/>
              <w:contextualSpacing/>
              <w:textAlignment w:val="baseline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UEs in RRC_CONNECTED shall monitor for SI change indication in any paging occasion at least once per modification period if the UE is provided with common search space, including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pagingSearchSpace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searchSpaceSIB1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and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searchSpaceOtherSystemInformation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on the active BWP to monitor paging, as specified in TS 38.213 [13], clause 13. </w:t>
            </w:r>
          </w:p>
        </w:tc>
      </w:tr>
    </w:tbl>
    <w:p>
      <w:pPr>
        <w:numPr>
          <w:ilvl w:val="7"/>
          <w:numId w:val="0"/>
        </w:numPr>
        <w:spacing w:before="120" w:beforeLines="50" w:after="120" w:afterLines="50" w:line="240" w:lineRule="auto"/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>According to the agreement in RAN1#121, it’s clear that the default priority rule and network indicated UL prioritization are both for other use cases except for collision with PDSCH scheduled by Type-0/0A/1/2-PDCCH CSS and PDCCH ordered PRACH</w:t>
      </w:r>
      <w:r>
        <w:rPr>
          <w:rFonts w:hint="eastAsia" w:ascii="Times New Roman" w:hAnsi="Times New Roman" w:cs="Times New Roman"/>
          <w:kern w:val="2"/>
          <w:sz w:val="20"/>
          <w:szCs w:val="20"/>
        </w:rPr>
        <w:t>.</w:t>
      </w:r>
    </w:p>
    <w:p>
      <w:pPr>
        <w:numPr>
          <w:ilvl w:val="7"/>
          <w:numId w:val="0"/>
        </w:numPr>
        <w:spacing w:before="120" w:beforeLines="50" w:after="120" w:afterLines="50" w:line="240" w:lineRule="auto"/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hint="eastAsia" w:ascii="Times New Roman" w:hAnsi="Times New Roman" w:cs="Times New Roman"/>
          <w:kern w:val="2"/>
          <w:sz w:val="20"/>
          <w:szCs w:val="20"/>
        </w:rPr>
        <w:t xml:space="preserve">In current TS 38.213 V19.0.0, it seems that four bullets for handling collision case 4 are treated in parallel, so these bullets should be mutually exclusive. However, </w:t>
      </w:r>
      <w:r>
        <w:rPr>
          <w:rFonts w:ascii="Times New Roman" w:hAnsi="Times New Roman" w:cs="Times New Roman"/>
          <w:kern w:val="2"/>
          <w:sz w:val="20"/>
          <w:szCs w:val="20"/>
        </w:rPr>
        <w:t>the 3</w:t>
      </w:r>
      <w:r>
        <w:rPr>
          <w:rFonts w:ascii="Times New Roman" w:hAnsi="Times New Roman" w:cs="Times New Roman"/>
          <w:kern w:val="2"/>
          <w:sz w:val="20"/>
          <w:szCs w:val="20"/>
          <w:vertAlign w:val="superscript"/>
        </w:rPr>
        <w:t>rd</w:t>
      </w:r>
      <w:r>
        <w:rPr>
          <w:rFonts w:ascii="Times New Roman" w:hAnsi="Times New Roman" w:cs="Times New Roman"/>
          <w:kern w:val="2"/>
          <w:sz w:val="20"/>
          <w:szCs w:val="20"/>
        </w:rPr>
        <w:t xml:space="preserve"> bullet </w:t>
      </w:r>
      <w:r>
        <w:rPr>
          <w:rFonts w:hint="eastAsia" w:ascii="Times New Roman" w:hAnsi="Times New Roman" w:cs="Times New Roman"/>
          <w:kern w:val="2"/>
          <w:sz w:val="20"/>
          <w:szCs w:val="20"/>
        </w:rPr>
        <w:t xml:space="preserve">only </w:t>
      </w:r>
      <w:r>
        <w:rPr>
          <w:rFonts w:ascii="Times New Roman" w:hAnsi="Times New Roman" w:cs="Times New Roman"/>
          <w:kern w:val="2"/>
          <w:sz w:val="20"/>
          <w:szCs w:val="20"/>
        </w:rPr>
        <w:t xml:space="preserve">exclude the </w:t>
      </w:r>
      <w:r>
        <w:rPr>
          <w:rFonts w:hint="eastAsia" w:ascii="Times New Roman" w:hAnsi="Times New Roman" w:cs="Times New Roman"/>
          <w:kern w:val="2"/>
          <w:sz w:val="20"/>
          <w:szCs w:val="20"/>
        </w:rPr>
        <w:t xml:space="preserve">use </w:t>
      </w:r>
      <w:r>
        <w:rPr>
          <w:rFonts w:ascii="Times New Roman" w:hAnsi="Times New Roman" w:cs="Times New Roman"/>
          <w:kern w:val="2"/>
          <w:sz w:val="20"/>
          <w:szCs w:val="20"/>
        </w:rPr>
        <w:t>case</w:t>
      </w:r>
      <w:r>
        <w:rPr>
          <w:rFonts w:hint="eastAsia" w:ascii="Times New Roman" w:hAnsi="Times New Roman" w:cs="Times New Roman"/>
          <w:kern w:val="2"/>
          <w:sz w:val="20"/>
          <w:szCs w:val="20"/>
        </w:rPr>
        <w:t>s</w:t>
      </w:r>
      <w:r>
        <w:rPr>
          <w:rFonts w:ascii="Times New Roman" w:hAnsi="Times New Roman" w:cs="Times New Roman"/>
          <w:kern w:val="2"/>
          <w:sz w:val="20"/>
          <w:szCs w:val="20"/>
        </w:rPr>
        <w:t xml:space="preserve"> of </w:t>
      </w:r>
      <w:r>
        <w:rPr>
          <w:rFonts w:hint="eastAsia" w:ascii="Times New Roman" w:hAnsi="Times New Roman" w:cs="Times New Roman"/>
          <w:kern w:val="2"/>
          <w:sz w:val="20"/>
          <w:szCs w:val="20"/>
        </w:rPr>
        <w:t xml:space="preserve">the </w:t>
      </w:r>
      <w:r>
        <w:rPr>
          <w:rFonts w:ascii="Times New Roman" w:hAnsi="Times New Roman" w:cs="Times New Roman"/>
          <w:kern w:val="2"/>
          <w:sz w:val="20"/>
          <w:szCs w:val="20"/>
        </w:rPr>
        <w:t>2</w:t>
      </w:r>
      <w:r>
        <w:rPr>
          <w:rFonts w:ascii="Times New Roman" w:hAnsi="Times New Roman" w:cs="Times New Roman"/>
          <w:kern w:val="2"/>
          <w:sz w:val="20"/>
          <w:szCs w:val="20"/>
          <w:vertAlign w:val="superscript"/>
        </w:rPr>
        <w:t>nd</w:t>
      </w:r>
      <w:r>
        <w:rPr>
          <w:rFonts w:ascii="Times New Roman" w:hAnsi="Times New Roman" w:cs="Times New Roman"/>
          <w:kern w:val="2"/>
          <w:sz w:val="20"/>
          <w:szCs w:val="20"/>
        </w:rPr>
        <w:t xml:space="preserve"> bullet but does not exclude the </w:t>
      </w:r>
      <w:r>
        <w:rPr>
          <w:rFonts w:hint="eastAsia" w:ascii="Times New Roman" w:hAnsi="Times New Roman" w:cs="Times New Roman"/>
          <w:kern w:val="2"/>
          <w:sz w:val="20"/>
          <w:szCs w:val="20"/>
        </w:rPr>
        <w:t xml:space="preserve">use </w:t>
      </w:r>
      <w:r>
        <w:rPr>
          <w:rFonts w:ascii="Times New Roman" w:hAnsi="Times New Roman" w:cs="Times New Roman"/>
          <w:kern w:val="2"/>
          <w:sz w:val="20"/>
          <w:szCs w:val="20"/>
        </w:rPr>
        <w:t>case</w:t>
      </w:r>
      <w:r>
        <w:rPr>
          <w:rFonts w:hint="eastAsia" w:ascii="Times New Roman" w:hAnsi="Times New Roman" w:cs="Times New Roman"/>
          <w:kern w:val="2"/>
          <w:sz w:val="20"/>
          <w:szCs w:val="20"/>
        </w:rPr>
        <w:t>s</w:t>
      </w:r>
      <w:r>
        <w:rPr>
          <w:rFonts w:ascii="Times New Roman" w:hAnsi="Times New Roman" w:cs="Times New Roman"/>
          <w:kern w:val="2"/>
          <w:sz w:val="20"/>
          <w:szCs w:val="20"/>
        </w:rPr>
        <w:t xml:space="preserve"> of </w:t>
      </w:r>
      <w:r>
        <w:rPr>
          <w:rFonts w:hint="eastAsia" w:ascii="Times New Roman" w:hAnsi="Times New Roman" w:cs="Times New Roman"/>
          <w:kern w:val="2"/>
          <w:sz w:val="20"/>
          <w:szCs w:val="20"/>
        </w:rPr>
        <w:t xml:space="preserve">the </w:t>
      </w:r>
      <w:r>
        <w:rPr>
          <w:rFonts w:ascii="Times New Roman" w:hAnsi="Times New Roman" w:cs="Times New Roman"/>
          <w:kern w:val="2"/>
          <w:sz w:val="20"/>
          <w:szCs w:val="20"/>
        </w:rPr>
        <w:t>1</w:t>
      </w:r>
      <w:r>
        <w:rPr>
          <w:rFonts w:ascii="Times New Roman" w:hAnsi="Times New Roman" w:cs="Times New Roman"/>
          <w:kern w:val="2"/>
          <w:sz w:val="20"/>
          <w:szCs w:val="20"/>
          <w:vertAlign w:val="superscript"/>
        </w:rPr>
        <w:t>st</w:t>
      </w:r>
      <w:r>
        <w:rPr>
          <w:rFonts w:ascii="Times New Roman" w:hAnsi="Times New Roman" w:cs="Times New Roman"/>
          <w:kern w:val="2"/>
          <w:sz w:val="20"/>
          <w:szCs w:val="20"/>
        </w:rPr>
        <w:t xml:space="preserve"> bullet</w:t>
      </w:r>
      <w:r>
        <w:rPr>
          <w:rFonts w:hint="eastAsia" w:ascii="Times New Roman" w:hAnsi="Times New Roman" w:cs="Times New Roman"/>
          <w:kern w:val="2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 xml:space="preserve">The result is that, the collision </w:t>
      </w:r>
      <w:r>
        <w:rPr>
          <w:rFonts w:hint="eastAsia" w:ascii="Times New Roman" w:hAnsi="Times New Roman" w:cs="Times New Roman"/>
          <w:sz w:val="20"/>
          <w:szCs w:val="20"/>
        </w:rPr>
        <w:t xml:space="preserve">use </w:t>
      </w:r>
      <w:r>
        <w:rPr>
          <w:rFonts w:ascii="Times New Roman" w:hAnsi="Times New Roman" w:cs="Times New Roman"/>
          <w:sz w:val="20"/>
          <w:szCs w:val="20"/>
        </w:rPr>
        <w:t xml:space="preserve">cases specified in the third bullet overlap with those specified in the </w:t>
      </w:r>
      <w:r>
        <w:rPr>
          <w:rFonts w:hint="eastAsia" w:ascii="Times New Roman" w:hAnsi="Times New Roman" w:cs="Times New Roman"/>
          <w:sz w:val="20"/>
          <w:szCs w:val="20"/>
        </w:rPr>
        <w:t xml:space="preserve">first </w:t>
      </w:r>
      <w:r>
        <w:rPr>
          <w:rFonts w:ascii="Times New Roman" w:hAnsi="Times New Roman" w:cs="Times New Roman"/>
          <w:sz w:val="20"/>
          <w:szCs w:val="20"/>
        </w:rPr>
        <w:t>bullet, leading to the same case being subject to different handling rules, e.g.</w:t>
      </w:r>
      <w:r>
        <w:rPr>
          <w:rFonts w:ascii="Times New Roman" w:hAnsi="Times New Roman" w:cs="Times New Roman"/>
          <w:kern w:val="2"/>
          <w:sz w:val="20"/>
          <w:szCs w:val="20"/>
        </w:rPr>
        <w:t xml:space="preserve"> for collision between PRACH and PDSCH not scheduled by Type0/0A/1/2-PDCCH CSS set, it’s not clear whether it’s based on UE implementation or based on default priority rule. Therefore, we think the 3</w:t>
      </w:r>
      <w:r>
        <w:rPr>
          <w:rFonts w:ascii="Times New Roman" w:hAnsi="Times New Roman" w:cs="Times New Roman"/>
          <w:kern w:val="2"/>
          <w:sz w:val="20"/>
          <w:szCs w:val="20"/>
          <w:vertAlign w:val="superscript"/>
        </w:rPr>
        <w:t>rd</w:t>
      </w:r>
      <w:r>
        <w:rPr>
          <w:rFonts w:ascii="Times New Roman" w:hAnsi="Times New Roman" w:cs="Times New Roman"/>
          <w:kern w:val="2"/>
          <w:sz w:val="20"/>
          <w:szCs w:val="20"/>
        </w:rPr>
        <w:t xml:space="preserve"> bullet should also exclude the PRACH case</w:t>
      </w:r>
      <w:r>
        <w:rPr>
          <w:rFonts w:hint="eastAsia" w:ascii="Times New Roman" w:hAnsi="Times New Roman" w:cs="Times New Roman"/>
          <w:kern w:val="2"/>
          <w:sz w:val="20"/>
          <w:szCs w:val="20"/>
        </w:rPr>
        <w:t>.</w:t>
      </w:r>
    </w:p>
    <w:p>
      <w:pPr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Proposal 1: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Adopt the following TP in section 17.2 in TS 38.213 V19.0.0.</w:t>
      </w:r>
    </w:p>
    <w:tbl>
      <w:tblPr>
        <w:tblStyle w:val="1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 w:line="240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2"/>
          </w:tcPr>
          <w:p>
            <w:pPr>
              <w:pStyle w:val="5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4"/>
              <w:spacing w:after="0"/>
              <w:ind w:left="100"/>
              <w:rPr>
                <w:lang w:val="en-US"/>
              </w:rPr>
            </w:pPr>
            <w:r>
              <w:rPr>
                <w:iCs/>
                <w:lang w:val="en-US"/>
              </w:rPr>
              <w:t xml:space="preserve">In TS 38.213, for </w:t>
            </w:r>
            <w:r>
              <w:rPr>
                <w:rFonts w:hint="eastAsia"/>
                <w:iCs/>
                <w:lang w:val="en-US"/>
              </w:rPr>
              <w:t xml:space="preserve">handling collision case 4, </w:t>
            </w:r>
            <w:r>
              <w:rPr>
                <w:lang w:val="en-US"/>
              </w:rPr>
              <w:t xml:space="preserve">the collision </w:t>
            </w:r>
            <w:r>
              <w:rPr>
                <w:rFonts w:hint="eastAsia"/>
                <w:lang w:val="en-US"/>
              </w:rPr>
              <w:t xml:space="preserve">use </w:t>
            </w:r>
            <w:r>
              <w:rPr>
                <w:lang w:val="en-US"/>
              </w:rPr>
              <w:t xml:space="preserve">cases </w:t>
            </w:r>
            <w:r>
              <w:rPr>
                <w:rFonts w:hint="eastAsia"/>
                <w:lang w:val="en-US"/>
              </w:rPr>
              <w:t>handled by two parallel bullets (i.e., the 3</w:t>
            </w:r>
            <w:r>
              <w:rPr>
                <w:rFonts w:hint="eastAsia"/>
                <w:vertAlign w:val="superscript"/>
                <w:lang w:val="en-US"/>
              </w:rPr>
              <w:t>rd</w:t>
            </w:r>
            <w:r>
              <w:rPr>
                <w:rFonts w:hint="eastAsia"/>
                <w:lang w:val="en-US"/>
              </w:rPr>
              <w:t xml:space="preserve"> and the 1</w:t>
            </w:r>
            <w:r>
              <w:rPr>
                <w:rFonts w:hint="eastAsia"/>
                <w:vertAlign w:val="superscript"/>
                <w:lang w:val="en-US"/>
              </w:rPr>
              <w:t>st</w:t>
            </w:r>
            <w:r>
              <w:rPr>
                <w:rFonts w:hint="eastAsia"/>
                <w:lang w:val="en-US"/>
              </w:rPr>
              <w:t xml:space="preserve"> bullet) overlap</w:t>
            </w:r>
            <w:r>
              <w:rPr>
                <w:lang w:val="en-US"/>
              </w:rPr>
              <w:t>, leading to the same</w:t>
            </w:r>
            <w:r>
              <w:rPr>
                <w:rFonts w:hint="eastAsia"/>
                <w:lang w:val="en-US"/>
              </w:rPr>
              <w:t xml:space="preserve"> use</w:t>
            </w:r>
            <w:r>
              <w:rPr>
                <w:lang w:val="en-US"/>
              </w:rPr>
              <w:t xml:space="preserve"> case being subject to different handling rules, e.g. for collision between PRACH and PDSCH not scheduled by Type0/0A/1/2-PDCCH CSS set, it’s not clear whether it’s based on UE implementation or based on default priority rule.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color="auto" w:sz="4" w:space="0"/>
            </w:tcBorders>
          </w:tcPr>
          <w:p>
            <w:pPr>
              <w:pStyle w:val="5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4"/>
              <w:spacing w:after="0"/>
              <w:ind w:left="102"/>
              <w:rPr>
                <w:lang w:val="en-US"/>
              </w:rPr>
            </w:pPr>
            <w:r>
              <w:rPr>
                <w:lang w:val="en-US"/>
              </w:rPr>
              <w:t xml:space="preserve">In </w:t>
            </w:r>
            <w:r>
              <w:rPr>
                <w:rFonts w:hint="eastAsia"/>
                <w:lang w:val="en-US"/>
              </w:rPr>
              <w:t>s</w:t>
            </w:r>
            <w:r>
              <w:rPr>
                <w:lang w:val="en-US"/>
              </w:rPr>
              <w:t xml:space="preserve">ection </w:t>
            </w:r>
            <w:r>
              <w:rPr>
                <w:rFonts w:hint="eastAsia"/>
                <w:lang w:val="en-US"/>
              </w:rPr>
              <w:t xml:space="preserve">17.2 in </w:t>
            </w:r>
            <w:r>
              <w:rPr>
                <w:lang w:val="en-US"/>
              </w:rPr>
              <w:t>TS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 xml:space="preserve">38.213, </w:t>
            </w:r>
            <w:r>
              <w:rPr>
                <w:rFonts w:hint="eastAsia"/>
                <w:lang w:val="en-US"/>
              </w:rPr>
              <w:t xml:space="preserve">add the restriction </w:t>
            </w:r>
            <w:r>
              <w:rPr>
                <w:lang w:val="en-US"/>
              </w:rPr>
              <w:t>“and the UL transmission is not for a PRACH triggered by a PDCCH order”</w:t>
            </w:r>
            <w:r>
              <w:rPr>
                <w:rFonts w:hint="eastAsia"/>
                <w:lang w:val="en-US"/>
              </w:rPr>
              <w:t xml:space="preserve"> into the </w:t>
            </w:r>
            <w:r>
              <w:rPr>
                <w:lang w:val="en-US"/>
              </w:rPr>
              <w:t>3</w:t>
            </w:r>
            <w:r>
              <w:rPr>
                <w:vertAlign w:val="superscript"/>
                <w:lang w:val="en-US"/>
              </w:rPr>
              <w:t>rd</w:t>
            </w:r>
            <w:r>
              <w:rPr>
                <w:lang w:val="en-US"/>
              </w:rPr>
              <w:t xml:space="preserve"> bullet</w:t>
            </w:r>
            <w:r>
              <w:rPr>
                <w:rFonts w:hint="eastAsia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color="auto" w:sz="4" w:space="0"/>
            </w:tcBorders>
          </w:tcPr>
          <w:p>
            <w:pPr>
              <w:pStyle w:val="5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4"/>
              <w:spacing w:after="0"/>
              <w:ind w:left="100"/>
              <w:rPr>
                <w:b/>
                <w:bCs/>
                <w:lang w:val="en-US"/>
              </w:rPr>
            </w:pPr>
            <w:r>
              <w:rPr>
                <w:rFonts w:hint="eastAsia"/>
                <w:lang w:val="en-US"/>
              </w:rPr>
              <w:t>The</w:t>
            </w:r>
            <w:r>
              <w:rPr>
                <w:lang w:val="en-US"/>
              </w:rPr>
              <w:t xml:space="preserve"> same </w:t>
            </w:r>
            <w:r>
              <w:rPr>
                <w:rFonts w:hint="eastAsia"/>
                <w:lang w:val="en-US"/>
              </w:rPr>
              <w:t xml:space="preserve">collision use </w:t>
            </w:r>
            <w:r>
              <w:rPr>
                <w:lang w:val="en-US"/>
              </w:rPr>
              <w:t xml:space="preserve">case </w:t>
            </w:r>
            <w:r>
              <w:rPr>
                <w:rFonts w:hint="eastAsia"/>
                <w:lang w:val="en-US"/>
              </w:rPr>
              <w:t>is handled by</w:t>
            </w:r>
            <w:r>
              <w:rPr>
                <w:lang w:val="en-US"/>
              </w:rPr>
              <w:t xml:space="preserve"> different handling rules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5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</w:tcPr>
          <w:p>
            <w:pPr>
              <w:pStyle w:val="54"/>
              <w:spacing w:after="0"/>
              <w:rPr>
                <w:sz w:val="8"/>
                <w:szCs w:val="8"/>
              </w:rPr>
            </w:pPr>
          </w:p>
        </w:tc>
      </w:tr>
    </w:tbl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6" w:type="dxa"/>
          </w:tcPr>
          <w:p>
            <w:pPr>
              <w:widowControl w:val="0"/>
              <w:spacing w:before="12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0"/>
                <w:szCs w:val="20"/>
              </w:rPr>
              <w:t>17.2 Half-Duplex UE in paired spectrum</w:t>
            </w:r>
          </w:p>
          <w:p>
            <w:pPr>
              <w:widowControl w:val="0"/>
              <w:spacing w:before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&lt; Unchanged text omitted &gt;</w:t>
            </w:r>
          </w:p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 HD-UE that operates on a non-NTN serving cell, or a HD-UE that operates on an NTN serving cell and does not indicate </w:t>
            </w:r>
            <w:r>
              <w:rPr>
                <w:rFonts w:ascii="Times New Roman" w:hAnsi="Times New Roman" w:cs="Times New Roman"/>
                <w:i/>
                <w:iCs/>
                <w:kern w:val="2"/>
                <w:sz w:val="20"/>
                <w:szCs w:val="20"/>
                <w:lang w:eastAsia="ko-KR"/>
              </w:rPr>
              <w:t>CollisionHandlingOfHDFDDOperation</w:t>
            </w:r>
            <w:r>
              <w:rPr>
                <w:rFonts w:ascii="Times New Roman" w:hAnsi="Times New Roman" w:cs="Times New Roman"/>
                <w:iCs/>
                <w:kern w:val="2"/>
                <w:sz w:val="20"/>
                <w:szCs w:val="20"/>
                <w:lang w:eastAsia="ko-KR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does not expect to detect a DCI format scheduling a reception in a set of symbols and detect a DCI format scheduling a transmission in any symbol from the set of symbols. A HD-UE that operates on an NTN serving cell in the RRC_CONNECTED state, </w:t>
            </w:r>
            <w:r>
              <w:rPr>
                <w:rFonts w:ascii="Times New Roman" w:hAnsi="Times New Roman" w:cs="Times New Roman"/>
                <w:iCs/>
                <w:kern w:val="2"/>
                <w:sz w:val="20"/>
                <w:szCs w:val="20"/>
                <w:lang w:eastAsia="ko-KR"/>
              </w:rPr>
              <w:t>indicates</w:t>
            </w:r>
            <w:r>
              <w:rPr>
                <w:rFonts w:ascii="Times New Roman" w:hAnsi="Times New Roman" w:cs="Times New Roman"/>
                <w:i/>
                <w:iCs/>
                <w:kern w:val="2"/>
                <w:sz w:val="20"/>
                <w:szCs w:val="20"/>
                <w:lang w:eastAsia="ko-KR"/>
              </w:rPr>
              <w:t xml:space="preserve"> CollisionHandlingOfHDFDDOperation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is scheduled to receive a PDSCH or CSI-RS in a set of symbols based on an indication by a first DCI format, and is scheduled to transmit a PUSCH, PUCCH, SRS, or PRACH that overlap with any symbol from the set of symbols based on an indication by a second DCI format, determines</w:t>
            </w:r>
          </w:p>
          <w:p>
            <w:pPr>
              <w:pStyle w:val="3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>to either receive the PDSCH or the CSI-RS or transmit the PRACH based on the HD-UE implementation;</w:t>
            </w:r>
          </w:p>
          <w:p>
            <w:pPr>
              <w:pStyle w:val="3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>to either receive the PDSCH or transmit the PUSCH, PUCCH, or SRS based on the HD-UE implementation, if the first DCI format is provided by a PDCCH the HD-UE received according to a Type0/0A/1/2-PDCCH CSS set;</w:t>
            </w:r>
          </w:p>
          <w:p>
            <w:pPr>
              <w:pStyle w:val="3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to receive the PDSCH or the CSI-RS if the first DCI format is provided by a PDCCH the HD-UE received according to a search space set other than a Type0/0A/1/2-PDCCH CSS set, and the HD-UE is not provided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ntnRedCapCollisionCase4UlPriority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and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timeline conditions for cancellation of the UL transmission as defined in clause 17.2 are satisfied</w:t>
            </w:r>
            <w:r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>, when the UL transmission is not for a PRACH triggered by a PDCCH order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>
            <w:pPr>
              <w:pStyle w:val="3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>to transmit the PUSCH, PUCCH, or SRS, if the first DCI format is not provided by a PDCCH the HD-UE received according to a Type0/0A/1/2-PDCCH CSS set, and</w:t>
            </w:r>
          </w:p>
          <w:p>
            <w:pPr>
              <w:pStyle w:val="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Malgun Gothic" w:cs="Times New Roman"/>
                <w:sz w:val="20"/>
                <w:szCs w:val="20"/>
                <w:lang w:eastAsia="ja-JP"/>
              </w:rPr>
              <w:t>-</w:t>
            </w:r>
            <w:r>
              <w:rPr>
                <w:rFonts w:ascii="Times New Roman" w:hAnsi="Times New Roman" w:eastAsia="Malgun Gothic" w:cs="Times New Roman"/>
                <w:sz w:val="20"/>
                <w:szCs w:val="20"/>
                <w:lang w:eastAsia="ja-JP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>the HD-UE is provided ntnRedCapCollisionCase4UlPriority, or</w:t>
            </w:r>
          </w:p>
          <w:p>
            <w:pPr>
              <w:pStyle w:val="44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Malgun Gothic" w:cs="Times New Roman"/>
                <w:sz w:val="20"/>
                <w:szCs w:val="20"/>
                <w:lang w:eastAsia="ja-JP"/>
              </w:rPr>
              <w:t>-</w:t>
            </w:r>
            <w:r>
              <w:rPr>
                <w:rFonts w:ascii="Times New Roman" w:hAnsi="Times New Roman" w:eastAsia="Malgun Gothic" w:cs="Times New Roman"/>
                <w:sz w:val="20"/>
                <w:szCs w:val="20"/>
                <w:lang w:eastAsia="ja-JP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the HD-UE is not provided ntnRedCapCollisionCase4UlPriority and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timeline conditions for cancellation of the UL transmission as defined in clause 17.2 are not satisfied.</w:t>
            </w:r>
          </w:p>
          <w:p>
            <w:pPr>
              <w:numPr>
                <w:ilvl w:val="7"/>
                <w:numId w:val="0"/>
              </w:numPr>
              <w:spacing w:after="120" w:afterLines="50" w:line="240" w:lineRule="auto"/>
              <w:jc w:val="center"/>
              <w:rPr>
                <w:rFonts w:hint="eastAsia"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&lt; Unchanged text omitted &gt;</w:t>
            </w:r>
          </w:p>
        </w:tc>
      </w:tr>
    </w:tbl>
    <w:p>
      <w:pPr>
        <w:numPr>
          <w:ilvl w:val="7"/>
          <w:numId w:val="0"/>
        </w:numPr>
        <w:spacing w:before="192" w:beforeLines="80" w:after="192" w:afterLines="80" w:line="240" w:lineRule="auto"/>
        <w:jc w:val="both"/>
        <w:outlineLvl w:val="1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2.2 Collision scenarios with more than two overlapping transmissions</w:t>
      </w:r>
    </w:p>
    <w:p>
      <w:pPr>
        <w:jc w:val="both"/>
        <w:rPr>
          <w:rFonts w:ascii="Times New Roman" w:hAnsi="Times New Roman" w:eastAsia="宋体" w:cs="Times New Roman"/>
          <w:sz w:val="20"/>
          <w:szCs w:val="20"/>
        </w:rPr>
      </w:pPr>
      <w:r>
        <w:rPr>
          <w:rFonts w:ascii="Times New Roman" w:hAnsi="Times New Roman" w:eastAsia="宋体" w:cs="Times New Roman"/>
          <w:sz w:val="20"/>
          <w:szCs w:val="20"/>
        </w:rPr>
        <w:t>For HD-FDD (e)Redcap UEs prior to Rel-19, there was no issue of multiple transmission</w:t>
      </w:r>
      <w:r>
        <w:rPr>
          <w:rFonts w:hint="eastAsia" w:ascii="Times New Roman" w:hAnsi="Times New Roman" w:eastAsia="宋体" w:cs="Times New Roman"/>
          <w:sz w:val="20"/>
          <w:szCs w:val="20"/>
        </w:rPr>
        <w:t xml:space="preserve"> (&gt;2)</w:t>
      </w:r>
      <w:r>
        <w:rPr>
          <w:rFonts w:ascii="Times New Roman" w:hAnsi="Times New Roman" w:eastAsia="宋体" w:cs="Times New Roman"/>
          <w:sz w:val="20"/>
          <w:szCs w:val="20"/>
        </w:rPr>
        <w:t xml:space="preserve"> collisions that needed to be </w:t>
      </w:r>
      <w:r>
        <w:rPr>
          <w:rFonts w:hint="eastAsia" w:ascii="Times New Roman" w:hAnsi="Times New Roman" w:eastAsia="宋体" w:cs="Times New Roman"/>
          <w:sz w:val="20"/>
          <w:szCs w:val="20"/>
        </w:rPr>
        <w:t xml:space="preserve">specifically </w:t>
      </w:r>
      <w:r>
        <w:rPr>
          <w:rFonts w:ascii="Times New Roman" w:hAnsi="Times New Roman" w:eastAsia="宋体" w:cs="Times New Roman"/>
          <w:sz w:val="20"/>
          <w:szCs w:val="20"/>
        </w:rPr>
        <w:t>addressed. Th</w:t>
      </w:r>
      <w:r>
        <w:rPr>
          <w:rFonts w:hint="eastAsia" w:ascii="Times New Roman" w:hAnsi="Times New Roman" w:eastAsia="宋体" w:cs="Times New Roman"/>
          <w:sz w:val="20"/>
          <w:szCs w:val="20"/>
        </w:rPr>
        <w:t>at</w:t>
      </w:r>
      <w:r>
        <w:rPr>
          <w:rFonts w:ascii="Times New Roman" w:hAnsi="Times New Roman" w:eastAsia="宋体" w:cs="Times New Roman"/>
          <w:sz w:val="20"/>
          <w:szCs w:val="20"/>
        </w:rPr>
        <w:t xml:space="preserve"> is because </w:t>
      </w:r>
      <w:r>
        <w:rPr>
          <w:rFonts w:hint="eastAsia" w:ascii="Times New Roman" w:hAnsi="Times New Roman" w:eastAsia="宋体" w:cs="Times New Roman"/>
          <w:sz w:val="20"/>
          <w:szCs w:val="20"/>
        </w:rPr>
        <w:t>collision c</w:t>
      </w:r>
      <w:r>
        <w:rPr>
          <w:rFonts w:ascii="Times New Roman" w:hAnsi="Times New Roman" w:eastAsia="宋体" w:cs="Times New Roman"/>
          <w:sz w:val="20"/>
          <w:szCs w:val="20"/>
        </w:rPr>
        <w:t xml:space="preserve">ase 3 and </w:t>
      </w:r>
      <w:r>
        <w:rPr>
          <w:rFonts w:hint="eastAsia" w:ascii="Times New Roman" w:hAnsi="Times New Roman" w:eastAsia="宋体" w:cs="Times New Roman"/>
          <w:sz w:val="20"/>
          <w:szCs w:val="20"/>
        </w:rPr>
        <w:t>c</w:t>
      </w:r>
      <w:r>
        <w:rPr>
          <w:rFonts w:ascii="Times New Roman" w:hAnsi="Times New Roman" w:eastAsia="宋体" w:cs="Times New Roman"/>
          <w:sz w:val="20"/>
          <w:szCs w:val="20"/>
        </w:rPr>
        <w:t>ase 4 were previously considered as error cases</w:t>
      </w:r>
      <w:r>
        <w:rPr>
          <w:rFonts w:hint="eastAsia" w:ascii="Times New Roman" w:hAnsi="Times New Roman" w:eastAsia="宋体" w:cs="Times New Roman"/>
          <w:sz w:val="20"/>
          <w:szCs w:val="20"/>
        </w:rPr>
        <w:t xml:space="preserve">. Further, </w:t>
      </w:r>
      <w:r>
        <w:rPr>
          <w:rFonts w:ascii="Times New Roman" w:hAnsi="Times New Roman" w:eastAsia="宋体" w:cs="Times New Roman"/>
          <w:sz w:val="20"/>
          <w:szCs w:val="20"/>
        </w:rPr>
        <w:t xml:space="preserve">there were no </w:t>
      </w:r>
      <w:r>
        <w:rPr>
          <w:rFonts w:ascii="Times New Roman" w:hAnsi="Times New Roman" w:cs="Times New Roman"/>
          <w:bCs/>
          <w:sz w:val="20"/>
          <w:szCs w:val="20"/>
        </w:rPr>
        <w:t>exceptional</w:t>
      </w:r>
      <w:r>
        <w:rPr>
          <w:rFonts w:ascii="Times New Roman" w:hAnsi="Times New Roman" w:eastAsia="宋体" w:cs="Times New Roman"/>
          <w:sz w:val="20"/>
          <w:szCs w:val="20"/>
        </w:rPr>
        <w:t xml:space="preserve"> cases </w:t>
      </w:r>
      <w:r>
        <w:rPr>
          <w:rFonts w:hint="eastAsia" w:ascii="Times New Roman" w:hAnsi="Times New Roman" w:eastAsia="宋体" w:cs="Times New Roman"/>
          <w:sz w:val="20"/>
          <w:szCs w:val="20"/>
        </w:rPr>
        <w:t>to solve collisions between two</w:t>
      </w:r>
      <w:r>
        <w:rPr>
          <w:rFonts w:ascii="Times New Roman" w:hAnsi="Times New Roman" w:eastAsia="宋体" w:cs="Times New Roman"/>
          <w:sz w:val="20"/>
          <w:szCs w:val="20"/>
        </w:rPr>
        <w:t xml:space="preserve"> type</w:t>
      </w:r>
      <w:r>
        <w:rPr>
          <w:rFonts w:hint="eastAsia" w:ascii="Times New Roman" w:hAnsi="Times New Roman" w:eastAsia="宋体" w:cs="Times New Roman"/>
          <w:sz w:val="20"/>
          <w:szCs w:val="20"/>
        </w:rPr>
        <w:t>s</w:t>
      </w:r>
      <w:r>
        <w:rPr>
          <w:rFonts w:ascii="Times New Roman" w:hAnsi="Times New Roman" w:eastAsia="宋体" w:cs="Times New Roman"/>
          <w:sz w:val="20"/>
          <w:szCs w:val="20"/>
        </w:rPr>
        <w:t xml:space="preserve"> of transmission</w:t>
      </w:r>
      <w:r>
        <w:rPr>
          <w:rFonts w:hint="eastAsia" w:ascii="Times New Roman" w:hAnsi="Times New Roman" w:eastAsia="宋体" w:cs="Times New Roman"/>
          <w:sz w:val="20"/>
          <w:szCs w:val="20"/>
        </w:rPr>
        <w:t>s in case 1 and case 2</w:t>
      </w:r>
      <w:r>
        <w:rPr>
          <w:rFonts w:ascii="Times New Roman" w:hAnsi="Times New Roman" w:eastAsia="宋体" w:cs="Times New Roman"/>
          <w:sz w:val="20"/>
          <w:szCs w:val="20"/>
        </w:rPr>
        <w:t xml:space="preserve">. However, </w:t>
      </w:r>
      <w:r>
        <w:rPr>
          <w:rFonts w:hint="eastAsia" w:ascii="Times New Roman" w:hAnsi="Times New Roman" w:eastAsia="宋体" w:cs="Times New Roman"/>
          <w:sz w:val="20"/>
          <w:szCs w:val="20"/>
        </w:rPr>
        <w:t>as c</w:t>
      </w:r>
      <w:r>
        <w:rPr>
          <w:rFonts w:ascii="Times New Roman" w:hAnsi="Times New Roman" w:eastAsia="宋体" w:cs="Times New Roman"/>
          <w:sz w:val="20"/>
          <w:szCs w:val="20"/>
        </w:rPr>
        <w:t xml:space="preserve">ase 3 and </w:t>
      </w:r>
      <w:r>
        <w:rPr>
          <w:rFonts w:hint="eastAsia" w:ascii="Times New Roman" w:hAnsi="Times New Roman" w:eastAsia="宋体" w:cs="Times New Roman"/>
          <w:sz w:val="20"/>
          <w:szCs w:val="20"/>
        </w:rPr>
        <w:t>c</w:t>
      </w:r>
      <w:r>
        <w:rPr>
          <w:rFonts w:ascii="Times New Roman" w:hAnsi="Times New Roman" w:eastAsia="宋体" w:cs="Times New Roman"/>
          <w:sz w:val="20"/>
          <w:szCs w:val="20"/>
        </w:rPr>
        <w:t>ase 4 are no longer treated as error cases</w:t>
      </w:r>
      <w:r>
        <w:rPr>
          <w:rFonts w:hint="eastAsia" w:ascii="Times New Roman" w:hAnsi="Times New Roman" w:eastAsia="宋体" w:cs="Times New Roman"/>
          <w:sz w:val="20"/>
          <w:szCs w:val="20"/>
        </w:rPr>
        <w:t xml:space="preserve"> and also introduced some </w:t>
      </w:r>
      <w:r>
        <w:rPr>
          <w:rFonts w:ascii="Times New Roman" w:hAnsi="Times New Roman" w:cs="Times New Roman"/>
          <w:bCs/>
          <w:sz w:val="20"/>
          <w:szCs w:val="20"/>
        </w:rPr>
        <w:t xml:space="preserve">exceptional </w:t>
      </w:r>
      <w:r>
        <w:rPr>
          <w:rFonts w:hint="eastAsia" w:ascii="Times New Roman" w:hAnsi="Times New Roman" w:eastAsia="宋体" w:cs="Times New Roman"/>
          <w:sz w:val="20"/>
          <w:szCs w:val="20"/>
        </w:rPr>
        <w:t>cases (e.g., Type</w:t>
      </w:r>
      <w:r>
        <w:rPr>
          <w:rFonts w:ascii="Times New Roman" w:hAnsi="Times New Roman" w:eastAsia="宋体" w:cs="Times New Roman"/>
          <w:sz w:val="20"/>
          <w:szCs w:val="20"/>
          <w:lang w:val="en-GB"/>
        </w:rPr>
        <w:t>-0/0A/1/2-PDCCH CSS</w:t>
      </w:r>
      <w:r>
        <w:rPr>
          <w:rFonts w:hint="eastAsia" w:ascii="Times New Roman" w:hAnsi="Times New Roman" w:eastAsia="宋体" w:cs="Times New Roman"/>
          <w:sz w:val="20"/>
          <w:szCs w:val="20"/>
        </w:rPr>
        <w:t>)</w:t>
      </w:r>
      <w:r>
        <w:rPr>
          <w:rFonts w:ascii="Times New Roman" w:hAnsi="Times New Roman" w:eastAsia="宋体" w:cs="Times New Roman"/>
          <w:sz w:val="20"/>
          <w:szCs w:val="20"/>
        </w:rPr>
        <w:t xml:space="preserve">, the issue of collisions between multiple transmissions </w:t>
      </w:r>
      <w:r>
        <w:rPr>
          <w:rFonts w:hint="eastAsia" w:ascii="Times New Roman" w:hAnsi="Times New Roman" w:eastAsia="宋体" w:cs="Times New Roman"/>
          <w:sz w:val="20"/>
          <w:szCs w:val="20"/>
        </w:rPr>
        <w:t xml:space="preserve">(&gt;2) </w:t>
      </w:r>
      <w:r>
        <w:rPr>
          <w:rFonts w:ascii="Times New Roman" w:hAnsi="Times New Roman" w:eastAsia="宋体" w:cs="Times New Roman"/>
          <w:sz w:val="20"/>
          <w:szCs w:val="20"/>
        </w:rPr>
        <w:t>with different handling solutions arises. The following two figures provide some examples of these issues, which did not previously exist.</w:t>
      </w:r>
    </w:p>
    <w:p>
      <w:pPr>
        <w:jc w:val="center"/>
        <w:rPr>
          <w:rFonts w:ascii="Times New Roman" w:hAnsi="Times New Roman" w:eastAsia="宋体" w:cs="Times New Roman"/>
          <w:sz w:val="20"/>
          <w:szCs w:val="20"/>
        </w:rPr>
      </w:pPr>
      <w:r>
        <w:rPr>
          <w:rFonts w:ascii="Times New Roman" w:hAnsi="Times New Roman" w:eastAsia="宋体" w:cs="Times New Roman"/>
          <w:sz w:val="20"/>
          <w:szCs w:val="20"/>
        </w:rPr>
        <w:drawing>
          <wp:inline distT="0" distB="0" distL="114300" distR="114300">
            <wp:extent cx="4647565" cy="1018540"/>
            <wp:effectExtent l="0" t="0" r="635" b="1016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47565" cy="101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Times New Roman" w:hAnsi="Times New Roman" w:eastAsia="宋体" w:cs="Times New Roman"/>
          <w:sz w:val="20"/>
          <w:szCs w:val="20"/>
        </w:rPr>
      </w:pPr>
      <w:r>
        <w:rPr>
          <w:rFonts w:hint="eastAsia" w:ascii="Times New Roman" w:hAnsi="Times New Roman" w:eastAsia="宋体" w:cs="Times New Roman"/>
          <w:sz w:val="20"/>
          <w:szCs w:val="20"/>
        </w:rPr>
        <w:t>(a) case 2 + case 4                                  (</w:t>
      </w:r>
      <w:r>
        <w:rPr>
          <w:rFonts w:ascii="Times New Roman" w:hAnsi="Times New Roman" w:eastAsia="宋体" w:cs="Times New Roman"/>
          <w:sz w:val="20"/>
          <w:szCs w:val="20"/>
        </w:rPr>
        <w:t>b</w:t>
      </w:r>
      <w:r>
        <w:rPr>
          <w:rFonts w:hint="eastAsia" w:ascii="Times New Roman" w:hAnsi="Times New Roman" w:eastAsia="宋体" w:cs="Times New Roman"/>
          <w:sz w:val="20"/>
          <w:szCs w:val="20"/>
        </w:rPr>
        <w:t>) case 3 + case 1</w:t>
      </w:r>
    </w:p>
    <w:p>
      <w:pPr>
        <w:jc w:val="center"/>
        <w:rPr>
          <w:rFonts w:ascii="Times New Roman" w:hAnsi="Times New Roman" w:eastAsia="宋体" w:cs="Times New Roman"/>
          <w:sz w:val="20"/>
          <w:szCs w:val="20"/>
        </w:rPr>
      </w:pPr>
      <w:r>
        <w:rPr>
          <w:rFonts w:hint="eastAsia" w:ascii="Times New Roman" w:hAnsi="Times New Roman" w:eastAsia="宋体" w:cs="Times New Roman"/>
          <w:sz w:val="20"/>
          <w:szCs w:val="20"/>
        </w:rPr>
        <w:t>Figure 1. Collisions between multiple transmissions (&gt;2) with different cases</w:t>
      </w:r>
    </w:p>
    <w:p>
      <w:pPr>
        <w:jc w:val="center"/>
        <w:rPr>
          <w:rFonts w:ascii="Times New Roman" w:hAnsi="Times New Roman" w:eastAsia="宋体" w:cs="Times New Roman"/>
          <w:sz w:val="20"/>
          <w:szCs w:val="20"/>
        </w:rPr>
      </w:pPr>
      <w:r>
        <w:rPr>
          <w:rFonts w:ascii="Times New Roman" w:hAnsi="Times New Roman" w:eastAsia="宋体" w:cs="Times New Roman"/>
          <w:sz w:val="20"/>
          <w:szCs w:val="20"/>
        </w:rPr>
        <w:drawing>
          <wp:inline distT="0" distB="0" distL="114300" distR="114300">
            <wp:extent cx="5025390" cy="986155"/>
            <wp:effectExtent l="0" t="0" r="3810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25390" cy="98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Times New Roman" w:hAnsi="Times New Roman" w:eastAsia="宋体" w:cs="Times New Roman"/>
          <w:sz w:val="20"/>
          <w:szCs w:val="20"/>
        </w:rPr>
      </w:pPr>
      <w:r>
        <w:rPr>
          <w:rFonts w:hint="eastAsia" w:ascii="Times New Roman" w:hAnsi="Times New Roman" w:eastAsia="宋体" w:cs="Times New Roman"/>
          <w:sz w:val="20"/>
          <w:szCs w:val="20"/>
        </w:rPr>
        <w:t>(a) case 3                                  (</w:t>
      </w:r>
      <w:r>
        <w:rPr>
          <w:rFonts w:ascii="Times New Roman" w:hAnsi="Times New Roman" w:eastAsia="宋体" w:cs="Times New Roman"/>
          <w:sz w:val="20"/>
          <w:szCs w:val="20"/>
        </w:rPr>
        <w:t>b</w:t>
      </w:r>
      <w:r>
        <w:rPr>
          <w:rFonts w:hint="eastAsia" w:ascii="Times New Roman" w:hAnsi="Times New Roman" w:eastAsia="宋体" w:cs="Times New Roman"/>
          <w:sz w:val="20"/>
          <w:szCs w:val="20"/>
        </w:rPr>
        <w:t>) case 4</w:t>
      </w:r>
    </w:p>
    <w:p>
      <w:pPr>
        <w:jc w:val="center"/>
        <w:rPr>
          <w:rFonts w:ascii="Times New Roman" w:hAnsi="Times New Roman" w:eastAsia="宋体" w:cs="Times New Roman"/>
          <w:sz w:val="20"/>
          <w:szCs w:val="20"/>
        </w:rPr>
      </w:pPr>
      <w:r>
        <w:rPr>
          <w:rFonts w:hint="eastAsia" w:ascii="Times New Roman" w:hAnsi="Times New Roman" w:eastAsia="宋体" w:cs="Times New Roman"/>
          <w:sz w:val="20"/>
          <w:szCs w:val="20"/>
        </w:rPr>
        <w:t>Figure 2. Collisions between multiple transmissions (&gt;2) with a same case</w:t>
      </w:r>
    </w:p>
    <w:p>
      <w:pPr>
        <w:jc w:val="both"/>
        <w:rPr>
          <w:rFonts w:ascii="Times New Roman" w:hAnsi="Times New Roman" w:eastAsia="宋体" w:cs="Times New Roman"/>
          <w:sz w:val="20"/>
          <w:szCs w:val="20"/>
        </w:rPr>
      </w:pPr>
      <w:r>
        <w:rPr>
          <w:rFonts w:hint="eastAsia" w:ascii="Times New Roman" w:hAnsi="Times New Roman" w:eastAsia="宋体" w:cs="Times New Roman"/>
          <w:sz w:val="20"/>
          <w:szCs w:val="20"/>
        </w:rPr>
        <w:t>For collisions involving multiple transmissions (&gt;2) with different cases as shown in Figure 1, t</w:t>
      </w:r>
      <w:r>
        <w:rPr>
          <w:rFonts w:ascii="Times New Roman" w:hAnsi="Times New Roman" w:eastAsia="宋体" w:cs="Times New Roman"/>
          <w:sz w:val="20"/>
          <w:szCs w:val="20"/>
        </w:rPr>
        <w:t xml:space="preserve">he UE can uniformly handle collisions according to the </w:t>
      </w:r>
      <w:r>
        <w:rPr>
          <w:rFonts w:hint="eastAsia" w:ascii="Times New Roman" w:hAnsi="Times New Roman" w:eastAsia="宋体" w:cs="Times New Roman"/>
          <w:sz w:val="20"/>
          <w:szCs w:val="20"/>
        </w:rPr>
        <w:t xml:space="preserve">rule </w:t>
      </w:r>
      <w:r>
        <w:rPr>
          <w:rFonts w:ascii="Times New Roman" w:hAnsi="Times New Roman" w:eastAsia="宋体" w:cs="Times New Roman"/>
          <w:sz w:val="20"/>
          <w:szCs w:val="20"/>
        </w:rPr>
        <w:t xml:space="preserve">for </w:t>
      </w:r>
      <w:r>
        <w:rPr>
          <w:rFonts w:hint="eastAsia" w:ascii="Times New Roman" w:hAnsi="Times New Roman" w:eastAsia="宋体" w:cs="Times New Roman"/>
          <w:sz w:val="20"/>
          <w:szCs w:val="20"/>
        </w:rPr>
        <w:t>c</w:t>
      </w:r>
      <w:r>
        <w:rPr>
          <w:rFonts w:ascii="Times New Roman" w:hAnsi="Times New Roman" w:eastAsia="宋体" w:cs="Times New Roman"/>
          <w:sz w:val="20"/>
          <w:szCs w:val="20"/>
        </w:rPr>
        <w:t xml:space="preserve">ase 4. If no collision as in </w:t>
      </w:r>
      <w:r>
        <w:rPr>
          <w:rFonts w:hint="eastAsia" w:ascii="Times New Roman" w:hAnsi="Times New Roman" w:eastAsia="宋体" w:cs="Times New Roman"/>
          <w:sz w:val="20"/>
          <w:szCs w:val="20"/>
        </w:rPr>
        <w:t>c</w:t>
      </w:r>
      <w:r>
        <w:rPr>
          <w:rFonts w:ascii="Times New Roman" w:hAnsi="Times New Roman" w:eastAsia="宋体" w:cs="Times New Roman"/>
          <w:sz w:val="20"/>
          <w:szCs w:val="20"/>
        </w:rPr>
        <w:t xml:space="preserve">ase 4 exists, it can then apply the </w:t>
      </w:r>
      <w:r>
        <w:rPr>
          <w:rFonts w:hint="eastAsia" w:ascii="Times New Roman" w:hAnsi="Times New Roman" w:eastAsia="宋体" w:cs="Times New Roman"/>
          <w:sz w:val="20"/>
          <w:szCs w:val="20"/>
        </w:rPr>
        <w:t xml:space="preserve">rules </w:t>
      </w:r>
      <w:r>
        <w:rPr>
          <w:rFonts w:ascii="Times New Roman" w:hAnsi="Times New Roman" w:eastAsia="宋体" w:cs="Times New Roman"/>
          <w:sz w:val="20"/>
          <w:szCs w:val="20"/>
        </w:rPr>
        <w:t xml:space="preserve">for </w:t>
      </w:r>
      <w:r>
        <w:rPr>
          <w:rFonts w:hint="eastAsia" w:ascii="Times New Roman" w:hAnsi="Times New Roman" w:eastAsia="宋体" w:cs="Times New Roman"/>
          <w:sz w:val="20"/>
          <w:szCs w:val="20"/>
        </w:rPr>
        <w:t>c</w:t>
      </w:r>
      <w:r>
        <w:rPr>
          <w:rFonts w:ascii="Times New Roman" w:hAnsi="Times New Roman" w:eastAsia="宋体" w:cs="Times New Roman"/>
          <w:sz w:val="20"/>
          <w:szCs w:val="20"/>
        </w:rPr>
        <w:t>ase 1</w:t>
      </w:r>
      <w:r>
        <w:rPr>
          <w:rFonts w:hint="eastAsia" w:ascii="Times New Roman" w:hAnsi="Times New Roman" w:eastAsia="宋体" w:cs="Times New Roman"/>
          <w:sz w:val="20"/>
          <w:szCs w:val="20"/>
        </w:rPr>
        <w:t>/</w:t>
      </w:r>
      <w:r>
        <w:rPr>
          <w:rFonts w:ascii="Times New Roman" w:hAnsi="Times New Roman" w:eastAsia="宋体" w:cs="Times New Roman"/>
          <w:sz w:val="20"/>
          <w:szCs w:val="20"/>
        </w:rPr>
        <w:t>2 uniformly</w:t>
      </w:r>
      <w:r>
        <w:rPr>
          <w:rFonts w:hint="eastAsia" w:ascii="Times New Roman" w:hAnsi="Times New Roman" w:eastAsia="宋体" w:cs="Times New Roman"/>
          <w:sz w:val="20"/>
          <w:szCs w:val="20"/>
        </w:rPr>
        <w:t xml:space="preserve"> to all collisions</w:t>
      </w:r>
      <w:r>
        <w:rPr>
          <w:rFonts w:ascii="Times New Roman" w:hAnsi="Times New Roman" w:eastAsia="宋体" w:cs="Times New Roman"/>
          <w:sz w:val="20"/>
          <w:szCs w:val="20"/>
        </w:rPr>
        <w:t>.</w:t>
      </w:r>
    </w:p>
    <w:p>
      <w:pPr>
        <w:jc w:val="both"/>
        <w:rPr>
          <w:rFonts w:ascii="Times New Roman" w:hAnsi="Times New Roman" w:eastAsia="宋体" w:cs="Times New Roman"/>
          <w:sz w:val="20"/>
          <w:szCs w:val="20"/>
        </w:rPr>
      </w:pPr>
      <w:r>
        <w:rPr>
          <w:rFonts w:hint="eastAsia" w:ascii="Times New Roman" w:hAnsi="Times New Roman" w:eastAsia="宋体" w:cs="Times New Roman"/>
          <w:sz w:val="20"/>
          <w:szCs w:val="20"/>
        </w:rPr>
        <w:t>For collisions involving multiple transmissions (&gt;2) with a same case as shown in Figure 2:</w:t>
      </w:r>
    </w:p>
    <w:p>
      <w:pPr>
        <w:numPr>
          <w:ilvl w:val="0"/>
          <w:numId w:val="6"/>
        </w:numPr>
        <w:jc w:val="both"/>
        <w:rPr>
          <w:rFonts w:ascii="Times New Roman" w:hAnsi="Times New Roman" w:eastAsia="宋体" w:cs="Times New Roman"/>
          <w:sz w:val="20"/>
          <w:szCs w:val="20"/>
        </w:rPr>
      </w:pPr>
      <w:r>
        <w:rPr>
          <w:rFonts w:hint="eastAsia" w:ascii="Times New Roman" w:hAnsi="Times New Roman" w:eastAsia="宋体" w:cs="Times New Roman"/>
          <w:sz w:val="20"/>
          <w:szCs w:val="20"/>
        </w:rPr>
        <w:t>For case 3, i</w:t>
      </w:r>
      <w:r>
        <w:rPr>
          <w:rFonts w:ascii="Times New Roman" w:hAnsi="Times New Roman" w:eastAsia="宋体" w:cs="Times New Roman"/>
          <w:sz w:val="20"/>
          <w:szCs w:val="20"/>
        </w:rPr>
        <w:t xml:space="preserve">f </w:t>
      </w:r>
      <w:r>
        <w:rPr>
          <w:rFonts w:ascii="Times New Roman" w:hAnsi="Times New Roman" w:eastAsia="宋体" w:cs="Times New Roman"/>
          <w:sz w:val="20"/>
          <w:szCs w:val="20"/>
          <w:lang w:val="en-GB"/>
        </w:rPr>
        <w:t>Type-0/0A/1/2-PDCCH CSS</w:t>
      </w:r>
      <w:r>
        <w:rPr>
          <w:rFonts w:ascii="Times New Roman" w:hAnsi="Times New Roman" w:eastAsia="宋体" w:cs="Times New Roman"/>
          <w:sz w:val="20"/>
          <w:szCs w:val="20"/>
        </w:rPr>
        <w:t xml:space="preserve"> is present, the UE </w:t>
      </w:r>
      <w:r>
        <w:rPr>
          <w:rFonts w:hint="eastAsia" w:ascii="Times New Roman" w:hAnsi="Times New Roman" w:eastAsia="宋体" w:cs="Times New Roman"/>
          <w:sz w:val="20"/>
          <w:szCs w:val="20"/>
        </w:rPr>
        <w:t xml:space="preserve">should </w:t>
      </w:r>
      <w:r>
        <w:rPr>
          <w:rFonts w:ascii="Times New Roman" w:hAnsi="Times New Roman" w:eastAsia="宋体" w:cs="Times New Roman"/>
          <w:sz w:val="20"/>
          <w:szCs w:val="20"/>
        </w:rPr>
        <w:t xml:space="preserve">handle </w:t>
      </w:r>
      <w:r>
        <w:rPr>
          <w:rFonts w:hint="eastAsia" w:ascii="Times New Roman" w:hAnsi="Times New Roman" w:eastAsia="宋体" w:cs="Times New Roman"/>
          <w:sz w:val="20"/>
          <w:szCs w:val="20"/>
        </w:rPr>
        <w:t xml:space="preserve">all collisions </w:t>
      </w:r>
      <w:r>
        <w:rPr>
          <w:rFonts w:ascii="Times New Roman" w:hAnsi="Times New Roman" w:eastAsia="宋体" w:cs="Times New Roman"/>
          <w:sz w:val="20"/>
          <w:szCs w:val="20"/>
        </w:rPr>
        <w:t xml:space="preserve">uniformly in accordance with the rules for collisions between </w:t>
      </w:r>
      <w:r>
        <w:rPr>
          <w:rFonts w:ascii="Times New Roman" w:hAnsi="Times New Roman" w:eastAsia="宋体" w:cs="Times New Roman"/>
          <w:sz w:val="20"/>
          <w:szCs w:val="20"/>
          <w:lang w:val="en-GB"/>
        </w:rPr>
        <w:t>Type-0/0A/1/2-PDCCH CSS</w:t>
      </w:r>
      <w:r>
        <w:rPr>
          <w:rFonts w:ascii="Times New Roman" w:hAnsi="Times New Roman" w:eastAsia="宋体" w:cs="Times New Roman"/>
          <w:sz w:val="20"/>
          <w:szCs w:val="20"/>
        </w:rPr>
        <w:t xml:space="preserve"> and UL signals</w:t>
      </w:r>
      <w:r>
        <w:rPr>
          <w:rFonts w:hint="eastAsia" w:ascii="Times New Roman" w:hAnsi="Times New Roman" w:eastAsia="宋体" w:cs="Times New Roman"/>
          <w:sz w:val="20"/>
          <w:szCs w:val="20"/>
        </w:rPr>
        <w:t xml:space="preserve">. This is left to </w:t>
      </w:r>
      <w:r>
        <w:rPr>
          <w:rFonts w:ascii="Times New Roman" w:hAnsi="Times New Roman" w:eastAsia="宋体" w:cs="Times New Roman"/>
          <w:sz w:val="20"/>
          <w:szCs w:val="20"/>
        </w:rPr>
        <w:t>UE implementation</w:t>
      </w:r>
      <w:r>
        <w:rPr>
          <w:rFonts w:hint="eastAsia" w:ascii="Times New Roman" w:hAnsi="Times New Roman" w:eastAsia="宋体" w:cs="Times New Roman"/>
          <w:sz w:val="20"/>
          <w:szCs w:val="20"/>
        </w:rPr>
        <w:t xml:space="preserve"> as already agreed</w:t>
      </w:r>
      <w:r>
        <w:rPr>
          <w:rFonts w:ascii="Times New Roman" w:hAnsi="Times New Roman" w:eastAsia="宋体" w:cs="Times New Roman"/>
          <w:sz w:val="20"/>
          <w:szCs w:val="20"/>
        </w:rPr>
        <w:t xml:space="preserve">. </w:t>
      </w:r>
      <w:r>
        <w:rPr>
          <w:rFonts w:hint="eastAsia" w:ascii="Times New Roman" w:hAnsi="Times New Roman" w:eastAsia="宋体" w:cs="Times New Roman"/>
          <w:sz w:val="20"/>
          <w:szCs w:val="20"/>
        </w:rPr>
        <w:t>Otherwise</w:t>
      </w:r>
      <w:r>
        <w:rPr>
          <w:rFonts w:ascii="Times New Roman" w:hAnsi="Times New Roman" w:eastAsia="宋体" w:cs="Times New Roman"/>
          <w:sz w:val="20"/>
          <w:szCs w:val="20"/>
        </w:rPr>
        <w:t xml:space="preserve">, if </w:t>
      </w:r>
      <w:r>
        <w:rPr>
          <w:rFonts w:ascii="Times New Roman" w:hAnsi="Times New Roman" w:eastAsia="宋体" w:cs="Times New Roman"/>
          <w:sz w:val="20"/>
          <w:szCs w:val="20"/>
          <w:lang w:val="en-GB"/>
        </w:rPr>
        <w:t>Type-0/0A/1/2-PDCCH CSS</w:t>
      </w:r>
      <w:r>
        <w:rPr>
          <w:rFonts w:ascii="Times New Roman" w:hAnsi="Times New Roman" w:eastAsia="宋体" w:cs="Times New Roman"/>
          <w:sz w:val="20"/>
          <w:szCs w:val="20"/>
        </w:rPr>
        <w:t xml:space="preserve"> is not present, </w:t>
      </w:r>
      <w:r>
        <w:rPr>
          <w:rFonts w:hint="eastAsia" w:ascii="Times New Roman" w:hAnsi="Times New Roman" w:eastAsia="宋体" w:cs="Times New Roman"/>
          <w:sz w:val="20"/>
          <w:szCs w:val="20"/>
        </w:rPr>
        <w:t>no special handling is required</w:t>
      </w:r>
      <w:r>
        <w:rPr>
          <w:rFonts w:ascii="Times New Roman" w:hAnsi="Times New Roman" w:eastAsia="宋体" w:cs="Times New Roman"/>
          <w:sz w:val="20"/>
          <w:szCs w:val="20"/>
        </w:rPr>
        <w:t>.</w:t>
      </w:r>
      <w:r>
        <w:rPr>
          <w:rFonts w:hint="eastAsia" w:ascii="Times New Roman" w:hAnsi="Times New Roman" w:eastAsia="宋体" w:cs="Times New Roman"/>
          <w:sz w:val="20"/>
          <w:szCs w:val="20"/>
        </w:rPr>
        <w:t xml:space="preserve"> </w:t>
      </w:r>
    </w:p>
    <w:p>
      <w:pPr>
        <w:numPr>
          <w:ilvl w:val="0"/>
          <w:numId w:val="6"/>
        </w:numPr>
        <w:jc w:val="both"/>
        <w:rPr>
          <w:rFonts w:ascii="Times New Roman" w:hAnsi="Times New Roman" w:eastAsia="宋体" w:cs="Times New Roman"/>
          <w:sz w:val="20"/>
          <w:szCs w:val="20"/>
        </w:rPr>
      </w:pPr>
      <w:r>
        <w:rPr>
          <w:rFonts w:hint="eastAsia" w:ascii="Times New Roman" w:hAnsi="Times New Roman" w:eastAsia="宋体" w:cs="Times New Roman"/>
          <w:sz w:val="20"/>
          <w:szCs w:val="20"/>
        </w:rPr>
        <w:t>For case 4, i</w:t>
      </w:r>
      <w:r>
        <w:rPr>
          <w:rFonts w:ascii="Times New Roman" w:hAnsi="Times New Roman" w:eastAsia="宋体" w:cs="Times New Roman"/>
          <w:sz w:val="20"/>
          <w:szCs w:val="20"/>
        </w:rPr>
        <w:t xml:space="preserve">f </w:t>
      </w:r>
      <w:r>
        <w:rPr>
          <w:rFonts w:hint="eastAsia" w:ascii="Times New Roman" w:hAnsi="Times New Roman" w:eastAsia="宋体" w:cs="Times New Roman"/>
          <w:sz w:val="20"/>
          <w:szCs w:val="20"/>
        </w:rPr>
        <w:t>SIB19</w:t>
      </w:r>
      <w:r>
        <w:rPr>
          <w:rFonts w:ascii="Times New Roman" w:hAnsi="Times New Roman" w:eastAsia="宋体" w:cs="Times New Roman"/>
          <w:sz w:val="20"/>
          <w:szCs w:val="20"/>
        </w:rPr>
        <w:t xml:space="preserve"> is present, the UE </w:t>
      </w:r>
      <w:r>
        <w:rPr>
          <w:rFonts w:hint="eastAsia" w:ascii="Times New Roman" w:hAnsi="Times New Roman" w:eastAsia="宋体" w:cs="Times New Roman"/>
          <w:sz w:val="20"/>
          <w:szCs w:val="20"/>
        </w:rPr>
        <w:t xml:space="preserve">should </w:t>
      </w:r>
      <w:r>
        <w:rPr>
          <w:rFonts w:ascii="Times New Roman" w:hAnsi="Times New Roman" w:eastAsia="宋体" w:cs="Times New Roman"/>
          <w:sz w:val="20"/>
          <w:szCs w:val="20"/>
        </w:rPr>
        <w:t xml:space="preserve">handle </w:t>
      </w:r>
      <w:r>
        <w:rPr>
          <w:rFonts w:hint="eastAsia" w:ascii="Times New Roman" w:hAnsi="Times New Roman" w:eastAsia="宋体" w:cs="Times New Roman"/>
          <w:sz w:val="20"/>
          <w:szCs w:val="20"/>
        </w:rPr>
        <w:t>all collisions</w:t>
      </w:r>
      <w:r>
        <w:rPr>
          <w:rFonts w:ascii="Times New Roman" w:hAnsi="Times New Roman" w:eastAsia="宋体" w:cs="Times New Roman"/>
          <w:sz w:val="20"/>
          <w:szCs w:val="20"/>
        </w:rPr>
        <w:t xml:space="preserve"> uniformly in accordance with the rules for collisions between </w:t>
      </w:r>
      <w:r>
        <w:rPr>
          <w:rFonts w:hint="eastAsia" w:ascii="Times New Roman" w:hAnsi="Times New Roman" w:eastAsia="宋体" w:cs="Times New Roman"/>
          <w:sz w:val="20"/>
          <w:szCs w:val="20"/>
        </w:rPr>
        <w:t>SIB19</w:t>
      </w:r>
      <w:r>
        <w:rPr>
          <w:rFonts w:ascii="Times New Roman" w:hAnsi="Times New Roman" w:eastAsia="宋体" w:cs="Times New Roman"/>
          <w:sz w:val="20"/>
          <w:szCs w:val="20"/>
        </w:rPr>
        <w:t xml:space="preserve"> and UL signals</w:t>
      </w:r>
      <w:r>
        <w:rPr>
          <w:rFonts w:hint="eastAsia" w:ascii="Times New Roman" w:hAnsi="Times New Roman" w:eastAsia="宋体" w:cs="Times New Roman"/>
          <w:sz w:val="20"/>
          <w:szCs w:val="20"/>
        </w:rPr>
        <w:t xml:space="preserve">, which can also be left to </w:t>
      </w:r>
      <w:r>
        <w:rPr>
          <w:rFonts w:ascii="Times New Roman" w:hAnsi="Times New Roman" w:eastAsia="宋体" w:cs="Times New Roman"/>
          <w:sz w:val="20"/>
          <w:szCs w:val="20"/>
        </w:rPr>
        <w:t>UE implementation</w:t>
      </w:r>
      <w:r>
        <w:rPr>
          <w:rFonts w:hint="eastAsia" w:ascii="Times New Roman" w:hAnsi="Times New Roman" w:eastAsia="宋体" w:cs="Times New Roman"/>
          <w:sz w:val="20"/>
          <w:szCs w:val="20"/>
        </w:rPr>
        <w:t xml:space="preserve"> as we suggested above</w:t>
      </w:r>
      <w:r>
        <w:rPr>
          <w:rFonts w:ascii="Times New Roman" w:hAnsi="Times New Roman" w:eastAsia="宋体" w:cs="Times New Roman"/>
          <w:sz w:val="20"/>
          <w:szCs w:val="20"/>
        </w:rPr>
        <w:t xml:space="preserve">. </w:t>
      </w:r>
      <w:r>
        <w:rPr>
          <w:rFonts w:hint="eastAsia" w:ascii="Times New Roman" w:hAnsi="Times New Roman" w:eastAsia="宋体" w:cs="Times New Roman"/>
          <w:sz w:val="20"/>
          <w:szCs w:val="20"/>
        </w:rPr>
        <w:t xml:space="preserve">Otherwise, if dynamically triggered PRACH </w:t>
      </w:r>
      <w:r>
        <w:rPr>
          <w:rFonts w:ascii="Times New Roman" w:hAnsi="Times New Roman" w:eastAsia="宋体" w:cs="Times New Roman"/>
          <w:sz w:val="20"/>
          <w:szCs w:val="20"/>
        </w:rPr>
        <w:t>is present,</w:t>
      </w:r>
      <w:r>
        <w:rPr>
          <w:rFonts w:hint="eastAsia" w:ascii="Times New Roman" w:hAnsi="Times New Roman" w:eastAsia="宋体" w:cs="Times New Roman"/>
          <w:sz w:val="20"/>
          <w:szCs w:val="20"/>
        </w:rPr>
        <w:t xml:space="preserve"> </w:t>
      </w:r>
      <w:r>
        <w:rPr>
          <w:rFonts w:ascii="Times New Roman" w:hAnsi="Times New Roman" w:eastAsia="宋体" w:cs="Times New Roman"/>
          <w:sz w:val="20"/>
          <w:szCs w:val="20"/>
        </w:rPr>
        <w:t xml:space="preserve">the UE shall </w:t>
      </w:r>
      <w:r>
        <w:rPr>
          <w:rFonts w:hint="eastAsia" w:ascii="Times New Roman" w:hAnsi="Times New Roman" w:eastAsia="宋体" w:cs="Times New Roman"/>
          <w:sz w:val="20"/>
          <w:szCs w:val="20"/>
        </w:rPr>
        <w:t>apply</w:t>
      </w:r>
      <w:r>
        <w:rPr>
          <w:rFonts w:ascii="Times New Roman" w:hAnsi="Times New Roman" w:eastAsia="宋体" w:cs="Times New Roman"/>
          <w:sz w:val="20"/>
          <w:szCs w:val="20"/>
        </w:rPr>
        <w:t xml:space="preserve"> the rules for collisions between </w:t>
      </w:r>
      <w:r>
        <w:rPr>
          <w:rFonts w:hint="eastAsia" w:ascii="Times New Roman" w:hAnsi="Times New Roman" w:eastAsia="宋体" w:cs="Times New Roman"/>
          <w:sz w:val="20"/>
          <w:szCs w:val="20"/>
        </w:rPr>
        <w:t>PRACH</w:t>
      </w:r>
      <w:r>
        <w:rPr>
          <w:rFonts w:ascii="Times New Roman" w:hAnsi="Times New Roman" w:eastAsia="宋体" w:cs="Times New Roman"/>
          <w:sz w:val="20"/>
          <w:szCs w:val="20"/>
        </w:rPr>
        <w:t xml:space="preserve"> and </w:t>
      </w:r>
      <w:r>
        <w:rPr>
          <w:rFonts w:hint="eastAsia" w:ascii="Times New Roman" w:hAnsi="Times New Roman" w:eastAsia="宋体" w:cs="Times New Roman"/>
          <w:sz w:val="20"/>
          <w:szCs w:val="20"/>
        </w:rPr>
        <w:t>other D</w:t>
      </w:r>
      <w:r>
        <w:rPr>
          <w:rFonts w:ascii="Times New Roman" w:hAnsi="Times New Roman" w:eastAsia="宋体" w:cs="Times New Roman"/>
          <w:sz w:val="20"/>
          <w:szCs w:val="20"/>
        </w:rPr>
        <w:t>L signals</w:t>
      </w:r>
      <w:r>
        <w:rPr>
          <w:rFonts w:hint="eastAsia" w:ascii="Times New Roman" w:hAnsi="Times New Roman" w:eastAsia="宋体" w:cs="Times New Roman"/>
          <w:sz w:val="20"/>
          <w:szCs w:val="20"/>
        </w:rPr>
        <w:t xml:space="preserve"> except SIB19. I</w:t>
      </w:r>
      <w:r>
        <w:rPr>
          <w:rFonts w:ascii="Times New Roman" w:hAnsi="Times New Roman" w:eastAsia="宋体" w:cs="Times New Roman"/>
          <w:sz w:val="20"/>
          <w:szCs w:val="20"/>
        </w:rPr>
        <w:t xml:space="preserve">f </w:t>
      </w:r>
      <w:r>
        <w:rPr>
          <w:rFonts w:hint="eastAsia" w:ascii="Times New Roman" w:hAnsi="Times New Roman" w:eastAsia="宋体" w:cs="Times New Roman"/>
          <w:sz w:val="20"/>
          <w:szCs w:val="20"/>
        </w:rPr>
        <w:t>both SIB19 and PRACH</w:t>
      </w:r>
      <w:r>
        <w:rPr>
          <w:rFonts w:ascii="Times New Roman" w:hAnsi="Times New Roman" w:eastAsia="宋体" w:cs="Times New Roman"/>
          <w:sz w:val="20"/>
          <w:szCs w:val="20"/>
        </w:rPr>
        <w:t xml:space="preserve"> </w:t>
      </w:r>
      <w:r>
        <w:rPr>
          <w:rFonts w:hint="eastAsia" w:ascii="Times New Roman" w:hAnsi="Times New Roman" w:eastAsia="宋体" w:cs="Times New Roman"/>
          <w:sz w:val="20"/>
          <w:szCs w:val="20"/>
        </w:rPr>
        <w:t>are</w:t>
      </w:r>
      <w:r>
        <w:rPr>
          <w:rFonts w:ascii="Times New Roman" w:hAnsi="Times New Roman" w:eastAsia="宋体" w:cs="Times New Roman"/>
          <w:sz w:val="20"/>
          <w:szCs w:val="20"/>
        </w:rPr>
        <w:t xml:space="preserve"> not present, </w:t>
      </w:r>
      <w:r>
        <w:rPr>
          <w:rFonts w:hint="eastAsia" w:ascii="Times New Roman" w:hAnsi="Times New Roman" w:eastAsia="宋体" w:cs="Times New Roman"/>
          <w:sz w:val="20"/>
          <w:szCs w:val="20"/>
        </w:rPr>
        <w:t>no special handling is required</w:t>
      </w:r>
      <w:r>
        <w:rPr>
          <w:rFonts w:ascii="Times New Roman" w:hAnsi="Times New Roman" w:eastAsia="宋体" w:cs="Times New Roman"/>
          <w:sz w:val="20"/>
          <w:szCs w:val="20"/>
        </w:rPr>
        <w:t>.</w:t>
      </w:r>
      <w:r>
        <w:rPr>
          <w:rFonts w:hint="eastAsia" w:ascii="Times New Roman" w:hAnsi="Times New Roman" w:eastAsia="宋体" w:cs="Times New Roman"/>
          <w:sz w:val="20"/>
          <w:szCs w:val="20"/>
        </w:rPr>
        <w:t xml:space="preserve"> </w:t>
      </w:r>
    </w:p>
    <w:p>
      <w:pPr>
        <w:jc w:val="both"/>
        <w:rPr>
          <w:rFonts w:ascii="Times New Roman" w:hAnsi="Times New Roman" w:eastAsia="宋体" w:cs="Times New Roman"/>
          <w:sz w:val="20"/>
          <w:szCs w:val="20"/>
        </w:rPr>
      </w:pPr>
      <w:r>
        <w:rPr>
          <w:rFonts w:ascii="Times New Roman" w:hAnsi="Times New Roman" w:eastAsia="宋体" w:cs="Times New Roman"/>
          <w:sz w:val="20"/>
          <w:szCs w:val="20"/>
        </w:rPr>
        <w:t xml:space="preserve">Another </w:t>
      </w:r>
      <w:r>
        <w:rPr>
          <w:rFonts w:hint="eastAsia" w:ascii="Times New Roman" w:hAnsi="Times New Roman" w:eastAsia="宋体" w:cs="Times New Roman"/>
          <w:sz w:val="20"/>
          <w:szCs w:val="20"/>
        </w:rPr>
        <w:t xml:space="preserve">straightforward </w:t>
      </w:r>
      <w:r>
        <w:rPr>
          <w:rFonts w:ascii="Times New Roman" w:hAnsi="Times New Roman" w:eastAsia="宋体" w:cs="Times New Roman"/>
          <w:sz w:val="20"/>
          <w:szCs w:val="20"/>
        </w:rPr>
        <w:t>approach is to delegate all the multiple collision problems mentioned above to UE implementation</w:t>
      </w:r>
      <w:r>
        <w:rPr>
          <w:rFonts w:hint="eastAsia" w:ascii="Times New Roman" w:hAnsi="Times New Roman" w:eastAsia="宋体" w:cs="Times New Roman"/>
          <w:sz w:val="20"/>
          <w:szCs w:val="20"/>
        </w:rPr>
        <w:t>. The UE can also process overlapping multiple transmissions in chronological order. Due to time constraints and standardized complexity, among all potential handling rules, relying on UE implementation is preferred.</w:t>
      </w:r>
    </w:p>
    <w:p>
      <w:pPr>
        <w:spacing w:after="60" w:line="240" w:lineRule="auto"/>
        <w:jc w:val="both"/>
        <w:rPr>
          <w:rFonts w:ascii="Times New Roman" w:hAnsi="Times New Roman" w:cs="Times New Roman"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i/>
          <w:iCs/>
          <w:sz w:val="20"/>
          <w:szCs w:val="20"/>
        </w:rPr>
        <w:t xml:space="preserve">Proposal </w:t>
      </w:r>
      <w:r>
        <w:rPr>
          <w:rFonts w:hint="eastAsia" w:ascii="Times New Roman" w:hAnsi="Times New Roman" w:cs="Times New Roman"/>
          <w:b/>
          <w:i/>
          <w:iCs/>
          <w:sz w:val="20"/>
          <w:szCs w:val="20"/>
        </w:rPr>
        <w:t>2:</w:t>
      </w:r>
      <w:r>
        <w:rPr>
          <w:rFonts w:hint="eastAsia" w:ascii="Times New Roman" w:hAnsi="Times New Roman" w:cs="Times New Roman"/>
          <w:bCs/>
          <w:i/>
          <w:iCs/>
          <w:sz w:val="20"/>
          <w:szCs w:val="20"/>
        </w:rPr>
        <w:t xml:space="preserve"> The following three options for addressing collisions involving more than two overlapping transmissions can be considered. Among them, Opt.1 is preferred due to the factors of time constraints and complexity.</w:t>
      </w:r>
    </w:p>
    <w:p>
      <w:pPr>
        <w:numPr>
          <w:ilvl w:val="0"/>
          <w:numId w:val="6"/>
        </w:numPr>
        <w:spacing w:after="60"/>
        <w:jc w:val="both"/>
        <w:rPr>
          <w:rFonts w:ascii="Times New Roman" w:hAnsi="Times New Roman" w:eastAsia="宋体" w:cs="Times New Roman"/>
          <w:i/>
          <w:iCs/>
          <w:sz w:val="20"/>
          <w:szCs w:val="20"/>
        </w:rPr>
      </w:pPr>
      <w:r>
        <w:rPr>
          <w:rFonts w:ascii="Times New Roman" w:hAnsi="Times New Roman" w:eastAsia="宋体" w:cs="Times New Roman"/>
          <w:i/>
          <w:iCs/>
          <w:sz w:val="20"/>
          <w:szCs w:val="20"/>
        </w:rPr>
        <w:t xml:space="preserve">Opt. 1: Up to UE implementation </w:t>
      </w:r>
    </w:p>
    <w:p>
      <w:pPr>
        <w:numPr>
          <w:ilvl w:val="0"/>
          <w:numId w:val="6"/>
        </w:numPr>
        <w:spacing w:after="60"/>
        <w:jc w:val="both"/>
        <w:rPr>
          <w:rFonts w:ascii="Times New Roman" w:hAnsi="Times New Roman" w:eastAsia="宋体" w:cs="Times New Roman"/>
          <w:i/>
          <w:iCs/>
          <w:sz w:val="20"/>
          <w:szCs w:val="20"/>
        </w:rPr>
      </w:pPr>
      <w:r>
        <w:rPr>
          <w:rFonts w:ascii="Times New Roman" w:hAnsi="Times New Roman" w:eastAsia="宋体" w:cs="Times New Roman"/>
          <w:i/>
          <w:iCs/>
          <w:sz w:val="20"/>
          <w:szCs w:val="20"/>
        </w:rPr>
        <w:t>Opt. 2: In chronological order</w:t>
      </w:r>
    </w:p>
    <w:p>
      <w:pPr>
        <w:numPr>
          <w:ilvl w:val="0"/>
          <w:numId w:val="6"/>
        </w:numPr>
        <w:spacing w:after="60"/>
        <w:ind w:left="0" w:firstLine="0"/>
        <w:jc w:val="both"/>
        <w:rPr>
          <w:rFonts w:ascii="Times New Roman" w:hAnsi="Times New Roman" w:eastAsia="宋体" w:cs="Times New Roman"/>
          <w:i/>
          <w:iCs/>
          <w:sz w:val="20"/>
          <w:szCs w:val="20"/>
        </w:rPr>
      </w:pPr>
      <w:r>
        <w:rPr>
          <w:rFonts w:ascii="Times New Roman" w:hAnsi="Times New Roman" w:eastAsia="宋体" w:cs="Times New Roman"/>
          <w:i/>
          <w:iCs/>
          <w:sz w:val="20"/>
          <w:szCs w:val="20"/>
        </w:rPr>
        <w:t>Opt. 3: On a case by case basis</w:t>
      </w:r>
    </w:p>
    <w:p>
      <w:pPr>
        <w:numPr>
          <w:ilvl w:val="0"/>
          <w:numId w:val="7"/>
        </w:numPr>
        <w:spacing w:after="60" w:line="240" w:lineRule="auto"/>
        <w:ind w:left="840"/>
        <w:jc w:val="both"/>
        <w:rPr>
          <w:rFonts w:ascii="Times New Roman" w:hAnsi="Times New Roman" w:eastAsia="宋体" w:cs="Times New Roman"/>
          <w:i/>
          <w:iCs/>
          <w:sz w:val="20"/>
          <w:szCs w:val="20"/>
        </w:rPr>
      </w:pPr>
      <w:r>
        <w:rPr>
          <w:rFonts w:ascii="Times New Roman" w:hAnsi="Times New Roman" w:eastAsia="宋体" w:cs="Times New Roman"/>
          <w:i/>
          <w:iCs/>
          <w:sz w:val="20"/>
          <w:szCs w:val="20"/>
        </w:rPr>
        <w:t>For collisions involving multiple transmissions (&gt;2) with different cases, the order of collision handling is: case 4 --&gt; case 1/2 --&gt; case 3</w:t>
      </w:r>
    </w:p>
    <w:p>
      <w:pPr>
        <w:numPr>
          <w:ilvl w:val="0"/>
          <w:numId w:val="7"/>
        </w:numPr>
        <w:spacing w:before="120" w:after="120" w:line="240" w:lineRule="auto"/>
        <w:ind w:left="840"/>
        <w:jc w:val="both"/>
        <w:rPr>
          <w:rFonts w:ascii="Times New Roman" w:hAnsi="Times New Roman" w:cs="Times New Roman"/>
          <w:bCs/>
          <w:i/>
          <w:iCs/>
          <w:sz w:val="20"/>
          <w:szCs w:val="20"/>
        </w:rPr>
      </w:pPr>
      <w:r>
        <w:rPr>
          <w:rFonts w:ascii="Times New Roman" w:hAnsi="Times New Roman" w:eastAsia="宋体" w:cs="Times New Roman"/>
          <w:i/>
          <w:iCs/>
          <w:sz w:val="20"/>
          <w:szCs w:val="20"/>
        </w:rPr>
        <w:t>For collisions involving multiple transmissions (&gt;2) with a same case (case 3 or case 4), the order of collision handling is: exceptional case --&gt; other cases.</w:t>
      </w:r>
    </w:p>
    <w:p>
      <w:pPr>
        <w:pStyle w:val="2"/>
        <w:keepNext w:val="0"/>
        <w:keepLines w:val="0"/>
        <w:widowControl w:val="0"/>
        <w:numPr>
          <w:ilvl w:val="0"/>
          <w:numId w:val="3"/>
        </w:numPr>
        <w:pBdr>
          <w:top w:val="none" w:color="auto" w:sz="0" w:space="0"/>
        </w:pBdr>
        <w:tabs>
          <w:tab w:val="left" w:pos="432"/>
        </w:tabs>
        <w:overflowPunct/>
        <w:snapToGrid w:val="0"/>
        <w:spacing w:beforeLines="100" w:after="120" w:afterLines="50" w:line="260" w:lineRule="auto"/>
        <w:textAlignment w:val="auto"/>
        <w:rPr>
          <w:rFonts w:ascii="Times New Roman" w:hAnsi="Times New Roman" w:eastAsia="黑体" w:cs="Times New Roman"/>
          <w:b/>
          <w:bCs/>
          <w:sz w:val="28"/>
          <w:szCs w:val="30"/>
          <w:lang w:val="en-US"/>
        </w:rPr>
      </w:pPr>
      <w:r>
        <w:rPr>
          <w:rFonts w:hint="eastAsia" w:ascii="Times New Roman" w:hAnsi="Times New Roman" w:eastAsia="黑体" w:cs="Times New Roman"/>
          <w:b/>
          <w:bCs/>
          <w:sz w:val="28"/>
          <w:szCs w:val="30"/>
          <w:lang w:val="en-US"/>
        </w:rPr>
        <w:t>Conclusions</w:t>
      </w:r>
    </w:p>
    <w:p>
      <w:pPr>
        <w:numPr>
          <w:ilvl w:val="3"/>
          <w:numId w:val="0"/>
        </w:numPr>
        <w:spacing w:after="120"/>
        <w:rPr>
          <w:rFonts w:ascii="Times New Roman" w:hAnsi="Times New Roman" w:eastAsia="宋体" w:cs="Times New Roman"/>
          <w:sz w:val="20"/>
          <w:szCs w:val="20"/>
        </w:rPr>
      </w:pPr>
      <w:r>
        <w:rPr>
          <w:rFonts w:hint="eastAsia" w:ascii="Times New Roman" w:hAnsi="Times New Roman" w:eastAsia="宋体" w:cs="Times New Roman"/>
          <w:sz w:val="20"/>
          <w:szCs w:val="20"/>
        </w:rPr>
        <w:t>According to the analysis given above, we have the following proposals:</w:t>
      </w:r>
    </w:p>
    <w:p>
      <w:pPr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Proposal 1: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Adopt the following TP in section 17.2 in TS 38.213 V19.0.0.</w:t>
      </w:r>
    </w:p>
    <w:tbl>
      <w:tblPr>
        <w:tblStyle w:val="1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 w:line="240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2"/>
          </w:tcPr>
          <w:p>
            <w:pPr>
              <w:pStyle w:val="5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4"/>
              <w:spacing w:after="0"/>
              <w:ind w:left="100"/>
              <w:rPr>
                <w:lang w:val="en-US"/>
              </w:rPr>
            </w:pPr>
            <w:r>
              <w:rPr>
                <w:iCs/>
                <w:lang w:val="en-US"/>
              </w:rPr>
              <w:t xml:space="preserve">In TS 38.213, for </w:t>
            </w:r>
            <w:r>
              <w:rPr>
                <w:rFonts w:hint="eastAsia"/>
                <w:iCs/>
                <w:lang w:val="en-US"/>
              </w:rPr>
              <w:t xml:space="preserve">handling collision case 4, </w:t>
            </w:r>
            <w:r>
              <w:rPr>
                <w:lang w:val="en-US"/>
              </w:rPr>
              <w:t xml:space="preserve">the collision </w:t>
            </w:r>
            <w:r>
              <w:rPr>
                <w:rFonts w:hint="eastAsia"/>
                <w:lang w:val="en-US"/>
              </w:rPr>
              <w:t xml:space="preserve">use </w:t>
            </w:r>
            <w:r>
              <w:rPr>
                <w:lang w:val="en-US"/>
              </w:rPr>
              <w:t xml:space="preserve">cases </w:t>
            </w:r>
            <w:r>
              <w:rPr>
                <w:rFonts w:hint="eastAsia"/>
                <w:lang w:val="en-US"/>
              </w:rPr>
              <w:t>handled by two parallel bullets (i.e., the 3</w:t>
            </w:r>
            <w:r>
              <w:rPr>
                <w:rFonts w:hint="eastAsia"/>
                <w:vertAlign w:val="superscript"/>
                <w:lang w:val="en-US"/>
              </w:rPr>
              <w:t>rd</w:t>
            </w:r>
            <w:r>
              <w:rPr>
                <w:rFonts w:hint="eastAsia"/>
                <w:lang w:val="en-US"/>
              </w:rPr>
              <w:t xml:space="preserve"> and the 1</w:t>
            </w:r>
            <w:r>
              <w:rPr>
                <w:rFonts w:hint="eastAsia"/>
                <w:vertAlign w:val="superscript"/>
                <w:lang w:val="en-US"/>
              </w:rPr>
              <w:t>st</w:t>
            </w:r>
            <w:r>
              <w:rPr>
                <w:rFonts w:hint="eastAsia"/>
                <w:lang w:val="en-US"/>
              </w:rPr>
              <w:t xml:space="preserve"> bullet) overlap</w:t>
            </w:r>
            <w:r>
              <w:rPr>
                <w:lang w:val="en-US"/>
              </w:rPr>
              <w:t>, leading to the same</w:t>
            </w:r>
            <w:r>
              <w:rPr>
                <w:rFonts w:hint="eastAsia"/>
                <w:lang w:val="en-US"/>
              </w:rPr>
              <w:t xml:space="preserve"> use</w:t>
            </w:r>
            <w:r>
              <w:rPr>
                <w:lang w:val="en-US"/>
              </w:rPr>
              <w:t xml:space="preserve"> case being subject to different handling rules, e.g. for collision between PRACH and PDSCH not scheduled by Type0/0A/1/2-PDCCH CSS set, it’s not clear whether it’s based on UE implementation or based on default priority rule.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color="auto" w:sz="4" w:space="0"/>
            </w:tcBorders>
          </w:tcPr>
          <w:p>
            <w:pPr>
              <w:pStyle w:val="5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4"/>
              <w:spacing w:after="0"/>
              <w:ind w:left="102"/>
              <w:rPr>
                <w:lang w:val="en-US"/>
              </w:rPr>
            </w:pPr>
            <w:r>
              <w:rPr>
                <w:lang w:val="en-US"/>
              </w:rPr>
              <w:t xml:space="preserve">In </w:t>
            </w:r>
            <w:r>
              <w:rPr>
                <w:rFonts w:hint="eastAsia"/>
                <w:lang w:val="en-US"/>
              </w:rPr>
              <w:t>s</w:t>
            </w:r>
            <w:r>
              <w:rPr>
                <w:lang w:val="en-US"/>
              </w:rPr>
              <w:t xml:space="preserve">ection </w:t>
            </w:r>
            <w:r>
              <w:rPr>
                <w:rFonts w:hint="eastAsia"/>
                <w:lang w:val="en-US"/>
              </w:rPr>
              <w:t xml:space="preserve">17.2 in </w:t>
            </w:r>
            <w:r>
              <w:rPr>
                <w:lang w:val="en-US"/>
              </w:rPr>
              <w:t>TS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 xml:space="preserve">38.213, </w:t>
            </w:r>
            <w:r>
              <w:rPr>
                <w:rFonts w:hint="eastAsia"/>
                <w:lang w:val="en-US"/>
              </w:rPr>
              <w:t xml:space="preserve">add the restriction </w:t>
            </w:r>
            <w:r>
              <w:rPr>
                <w:lang w:val="en-US"/>
              </w:rPr>
              <w:t>“and the UL transmission is not for a PRACH triggered by a PDCCH order”</w:t>
            </w:r>
            <w:r>
              <w:rPr>
                <w:rFonts w:hint="eastAsia"/>
                <w:lang w:val="en-US"/>
              </w:rPr>
              <w:t xml:space="preserve"> into the </w:t>
            </w:r>
            <w:r>
              <w:rPr>
                <w:lang w:val="en-US"/>
              </w:rPr>
              <w:t>3</w:t>
            </w:r>
            <w:r>
              <w:rPr>
                <w:vertAlign w:val="superscript"/>
                <w:lang w:val="en-US"/>
              </w:rPr>
              <w:t>rd</w:t>
            </w:r>
            <w:r>
              <w:rPr>
                <w:lang w:val="en-US"/>
              </w:rPr>
              <w:t xml:space="preserve"> bullet</w:t>
            </w:r>
            <w:r>
              <w:rPr>
                <w:rFonts w:hint="eastAsia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color="auto" w:sz="4" w:space="0"/>
            </w:tcBorders>
          </w:tcPr>
          <w:p>
            <w:pPr>
              <w:pStyle w:val="5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4"/>
              <w:spacing w:after="0"/>
              <w:ind w:left="100"/>
              <w:rPr>
                <w:b/>
                <w:bCs/>
                <w:lang w:val="en-US"/>
              </w:rPr>
            </w:pPr>
            <w:r>
              <w:rPr>
                <w:rFonts w:hint="eastAsia"/>
                <w:lang w:val="en-US"/>
              </w:rPr>
              <w:t>The</w:t>
            </w:r>
            <w:r>
              <w:rPr>
                <w:lang w:val="en-US"/>
              </w:rPr>
              <w:t xml:space="preserve"> same </w:t>
            </w:r>
            <w:r>
              <w:rPr>
                <w:rFonts w:hint="eastAsia"/>
                <w:lang w:val="en-US"/>
              </w:rPr>
              <w:t xml:space="preserve">collision use </w:t>
            </w:r>
            <w:r>
              <w:rPr>
                <w:lang w:val="en-US"/>
              </w:rPr>
              <w:t xml:space="preserve">case </w:t>
            </w:r>
            <w:r>
              <w:rPr>
                <w:rFonts w:hint="eastAsia"/>
                <w:lang w:val="en-US"/>
              </w:rPr>
              <w:t>is handled by</w:t>
            </w:r>
            <w:r>
              <w:rPr>
                <w:lang w:val="en-US"/>
              </w:rPr>
              <w:t xml:space="preserve"> different handling rules</w:t>
            </w:r>
          </w:p>
        </w:tc>
      </w:tr>
    </w:tbl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6" w:type="dxa"/>
          </w:tcPr>
          <w:p>
            <w:pPr>
              <w:widowControl w:val="0"/>
              <w:spacing w:before="12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0"/>
                <w:szCs w:val="20"/>
              </w:rPr>
              <w:t>17.2 Half-Duplex UE in paired spectrum</w:t>
            </w:r>
          </w:p>
          <w:p>
            <w:pPr>
              <w:widowControl w:val="0"/>
              <w:spacing w:before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&lt; Unchanged text omitted &gt;</w:t>
            </w:r>
          </w:p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 HD-UE that operates on a non-NTN serving cell, or a HD-UE that operates on an NTN serving cell and does not indicate </w:t>
            </w:r>
            <w:r>
              <w:rPr>
                <w:rFonts w:ascii="Times New Roman" w:hAnsi="Times New Roman" w:cs="Times New Roman"/>
                <w:i/>
                <w:iCs/>
                <w:kern w:val="2"/>
                <w:sz w:val="20"/>
                <w:szCs w:val="20"/>
                <w:lang w:eastAsia="ko-KR"/>
              </w:rPr>
              <w:t>CollisionHandlingOfHDFDDOperation</w:t>
            </w:r>
            <w:r>
              <w:rPr>
                <w:rFonts w:ascii="Times New Roman" w:hAnsi="Times New Roman" w:cs="Times New Roman"/>
                <w:iCs/>
                <w:kern w:val="2"/>
                <w:sz w:val="20"/>
                <w:szCs w:val="20"/>
                <w:lang w:eastAsia="ko-KR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does not expect to detect a DCI format scheduling a reception in a set of symbols and detect a DCI format scheduling a transmission in any symbol from the set of symbols. A HD-UE that operates on an NTN serving cell in the RRC_CONNECTED state, </w:t>
            </w:r>
            <w:r>
              <w:rPr>
                <w:rFonts w:ascii="Times New Roman" w:hAnsi="Times New Roman" w:cs="Times New Roman"/>
                <w:iCs/>
                <w:kern w:val="2"/>
                <w:sz w:val="20"/>
                <w:szCs w:val="20"/>
                <w:lang w:eastAsia="ko-KR"/>
              </w:rPr>
              <w:t>indicates</w:t>
            </w:r>
            <w:r>
              <w:rPr>
                <w:rFonts w:ascii="Times New Roman" w:hAnsi="Times New Roman" w:cs="Times New Roman"/>
                <w:i/>
                <w:iCs/>
                <w:kern w:val="2"/>
                <w:sz w:val="20"/>
                <w:szCs w:val="20"/>
                <w:lang w:eastAsia="ko-KR"/>
              </w:rPr>
              <w:t xml:space="preserve"> CollisionHandlingOfHDFDDOperation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is scheduled to receive a PDSCH or CSI-RS in a set of symbols based on an indication by a first DCI format, and is scheduled to transmit a PUSCH, PUCCH, SRS, or PRACH that overlap with any symbol from the set of symbols based on an indication by a second DCI format, determines</w:t>
            </w:r>
          </w:p>
          <w:p>
            <w:pPr>
              <w:pStyle w:val="3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>to either receive the PDSCH or the CSI-RS or transmit the PRACH based on the HD-UE implementation;</w:t>
            </w:r>
          </w:p>
          <w:p>
            <w:pPr>
              <w:pStyle w:val="3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>to either receive the PDSCH or transmit the PUSCH, PUCCH, or SRS based on the HD-UE implementation, if the first DCI format is provided by a PDCCH the HD-UE received according to a Type0/0A/1/2-PDCCH CSS set;</w:t>
            </w:r>
          </w:p>
          <w:p>
            <w:pPr>
              <w:pStyle w:val="3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to receive the PDSCH or the CSI-RS if the first DCI format is provided by a PDCCH the HD-UE received according to a search space set other than a Type0/0A/1/2-PDCCH CSS set, and the HD-UE is not provided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ntnRedCapCollisionCase4UlPriority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and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timeline conditions for cancellation of the UL transmission as defined in clause 17.2 are satisfied</w:t>
            </w:r>
            <w:r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>, when the UL transmission is not for a PRACH triggered by a PDCCH order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>
            <w:pPr>
              <w:pStyle w:val="3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>to transmit the PUSCH, PUCCH, or SRS, if the first DCI format is not provided by a PDCCH the HD-UE received according to a Type0/0A/1/2-PDCCH CSS set, and</w:t>
            </w:r>
          </w:p>
          <w:p>
            <w:pPr>
              <w:pStyle w:val="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Malgun Gothic" w:cs="Times New Roman"/>
                <w:sz w:val="20"/>
                <w:szCs w:val="20"/>
                <w:lang w:eastAsia="ja-JP"/>
              </w:rPr>
              <w:t>-</w:t>
            </w:r>
            <w:r>
              <w:rPr>
                <w:rFonts w:ascii="Times New Roman" w:hAnsi="Times New Roman" w:eastAsia="Malgun Gothic" w:cs="Times New Roman"/>
                <w:sz w:val="20"/>
                <w:szCs w:val="20"/>
                <w:lang w:eastAsia="ja-JP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>the HD-UE is provided ntnRedCapCollisionCase4UlPriority, or</w:t>
            </w:r>
          </w:p>
          <w:p>
            <w:pPr>
              <w:pStyle w:val="44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Malgun Gothic" w:cs="Times New Roman"/>
                <w:sz w:val="20"/>
                <w:szCs w:val="20"/>
                <w:lang w:eastAsia="ja-JP"/>
              </w:rPr>
              <w:t>-</w:t>
            </w:r>
            <w:r>
              <w:rPr>
                <w:rFonts w:ascii="Times New Roman" w:hAnsi="Times New Roman" w:eastAsia="Malgun Gothic" w:cs="Times New Roman"/>
                <w:sz w:val="20"/>
                <w:szCs w:val="20"/>
                <w:lang w:eastAsia="ja-JP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the HD-UE is not provided ntnRedCapCollisionCase4UlPriority and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timeline conditions for cancellation of the UL transmission as defined in clause 17.2 are not satisfied.</w:t>
            </w:r>
          </w:p>
          <w:p>
            <w:pPr>
              <w:numPr>
                <w:ilvl w:val="7"/>
                <w:numId w:val="0"/>
              </w:numPr>
              <w:spacing w:after="120" w:afterLines="5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&lt; Unchanged text omitted &gt;</w:t>
            </w:r>
          </w:p>
        </w:tc>
      </w:tr>
    </w:tbl>
    <w:p>
      <w:pPr>
        <w:numPr>
          <w:ilvl w:val="3"/>
          <w:numId w:val="0"/>
        </w:numPr>
        <w:spacing w:after="120"/>
        <w:rPr>
          <w:rFonts w:ascii="Times New Roman" w:hAnsi="Times New Roman" w:eastAsia="宋体" w:cs="Times New Roman"/>
          <w:sz w:val="20"/>
          <w:szCs w:val="20"/>
        </w:rPr>
      </w:pPr>
    </w:p>
    <w:p>
      <w:pPr>
        <w:spacing w:after="60" w:line="240" w:lineRule="auto"/>
        <w:jc w:val="both"/>
        <w:rPr>
          <w:rFonts w:ascii="Times New Roman" w:hAnsi="Times New Roman" w:cs="Times New Roman"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i/>
          <w:iCs/>
          <w:sz w:val="20"/>
          <w:szCs w:val="20"/>
        </w:rPr>
        <w:t xml:space="preserve">Proposal </w:t>
      </w:r>
      <w:r>
        <w:rPr>
          <w:rFonts w:hint="eastAsia" w:ascii="Times New Roman" w:hAnsi="Times New Roman" w:cs="Times New Roman"/>
          <w:b/>
          <w:i/>
          <w:iCs/>
          <w:sz w:val="20"/>
          <w:szCs w:val="20"/>
        </w:rPr>
        <w:t>2:</w:t>
      </w:r>
      <w:r>
        <w:rPr>
          <w:rFonts w:hint="eastAsia" w:ascii="Times New Roman" w:hAnsi="Times New Roman" w:cs="Times New Roman"/>
          <w:bCs/>
          <w:i/>
          <w:iCs/>
          <w:sz w:val="20"/>
          <w:szCs w:val="20"/>
        </w:rPr>
        <w:t xml:space="preserve"> The following three options for addressing collisions involving more than two overlapping transmissions can be considered. Among them, Opt.1 is preferred due to the factors of time constraints and complexity.</w:t>
      </w:r>
    </w:p>
    <w:p>
      <w:pPr>
        <w:numPr>
          <w:ilvl w:val="0"/>
          <w:numId w:val="6"/>
        </w:numPr>
        <w:spacing w:after="60"/>
        <w:jc w:val="both"/>
        <w:rPr>
          <w:rFonts w:ascii="Times New Roman" w:hAnsi="Times New Roman" w:eastAsia="宋体" w:cs="Times New Roman"/>
          <w:i/>
          <w:iCs/>
          <w:sz w:val="20"/>
          <w:szCs w:val="20"/>
        </w:rPr>
      </w:pPr>
      <w:r>
        <w:rPr>
          <w:rFonts w:ascii="Times New Roman" w:hAnsi="Times New Roman" w:eastAsia="宋体" w:cs="Times New Roman"/>
          <w:i/>
          <w:iCs/>
          <w:sz w:val="20"/>
          <w:szCs w:val="20"/>
        </w:rPr>
        <w:t xml:space="preserve">Opt. 1: Up to UE implementation </w:t>
      </w:r>
    </w:p>
    <w:p>
      <w:pPr>
        <w:numPr>
          <w:ilvl w:val="0"/>
          <w:numId w:val="6"/>
        </w:numPr>
        <w:spacing w:after="60"/>
        <w:jc w:val="both"/>
        <w:rPr>
          <w:rFonts w:ascii="Times New Roman" w:hAnsi="Times New Roman" w:eastAsia="宋体" w:cs="Times New Roman"/>
          <w:i/>
          <w:iCs/>
          <w:sz w:val="20"/>
          <w:szCs w:val="20"/>
        </w:rPr>
      </w:pPr>
      <w:r>
        <w:rPr>
          <w:rFonts w:ascii="Times New Roman" w:hAnsi="Times New Roman" w:eastAsia="宋体" w:cs="Times New Roman"/>
          <w:i/>
          <w:iCs/>
          <w:sz w:val="20"/>
          <w:szCs w:val="20"/>
        </w:rPr>
        <w:t>Opt. 2: In chronological order</w:t>
      </w:r>
    </w:p>
    <w:p>
      <w:pPr>
        <w:numPr>
          <w:ilvl w:val="0"/>
          <w:numId w:val="6"/>
        </w:numPr>
        <w:spacing w:after="60"/>
        <w:ind w:left="0" w:firstLine="0"/>
        <w:jc w:val="both"/>
        <w:rPr>
          <w:rFonts w:ascii="Times New Roman" w:hAnsi="Times New Roman" w:eastAsia="宋体" w:cs="Times New Roman"/>
          <w:i/>
          <w:iCs/>
          <w:sz w:val="20"/>
          <w:szCs w:val="20"/>
        </w:rPr>
      </w:pPr>
      <w:r>
        <w:rPr>
          <w:rFonts w:ascii="Times New Roman" w:hAnsi="Times New Roman" w:eastAsia="宋体" w:cs="Times New Roman"/>
          <w:i/>
          <w:iCs/>
          <w:sz w:val="20"/>
          <w:szCs w:val="20"/>
        </w:rPr>
        <w:t>Opt. 3: On a case by case basis</w:t>
      </w:r>
    </w:p>
    <w:p>
      <w:pPr>
        <w:numPr>
          <w:ilvl w:val="0"/>
          <w:numId w:val="7"/>
        </w:numPr>
        <w:spacing w:after="60" w:line="240" w:lineRule="auto"/>
        <w:ind w:left="840"/>
        <w:jc w:val="both"/>
        <w:rPr>
          <w:rFonts w:ascii="Times New Roman" w:hAnsi="Times New Roman" w:eastAsia="宋体" w:cs="Times New Roman"/>
          <w:i/>
          <w:iCs/>
          <w:sz w:val="20"/>
          <w:szCs w:val="20"/>
        </w:rPr>
      </w:pPr>
      <w:r>
        <w:rPr>
          <w:rFonts w:ascii="Times New Roman" w:hAnsi="Times New Roman" w:eastAsia="宋体" w:cs="Times New Roman"/>
          <w:i/>
          <w:iCs/>
          <w:sz w:val="20"/>
          <w:szCs w:val="20"/>
        </w:rPr>
        <w:t>For collisions involving multiple transmissions (&gt;2) with different cases, the order of collision handling is: case 4 --&gt; case 1/2 --&gt; case 3</w:t>
      </w:r>
    </w:p>
    <w:p>
      <w:pPr>
        <w:numPr>
          <w:ilvl w:val="0"/>
          <w:numId w:val="7"/>
        </w:numPr>
        <w:spacing w:before="120" w:after="120" w:line="240" w:lineRule="auto"/>
        <w:ind w:left="840"/>
        <w:jc w:val="both"/>
        <w:rPr>
          <w:rFonts w:ascii="Times New Roman" w:hAnsi="Times New Roman" w:cs="Times New Roman"/>
          <w:bCs/>
          <w:i/>
          <w:iCs/>
          <w:sz w:val="20"/>
          <w:szCs w:val="20"/>
        </w:rPr>
      </w:pPr>
      <w:r>
        <w:rPr>
          <w:rFonts w:ascii="Times New Roman" w:hAnsi="Times New Roman" w:eastAsia="宋体" w:cs="Times New Roman"/>
          <w:i/>
          <w:iCs/>
          <w:sz w:val="20"/>
          <w:szCs w:val="20"/>
        </w:rPr>
        <w:t>For collisions involving multiple transmissions (&gt;2) with a same case (case 3 or case 4), the order of collision handling is: exceptional case --&gt; other cases.</w:t>
      </w:r>
    </w:p>
    <w:p>
      <w:pPr>
        <w:pStyle w:val="2"/>
        <w:keepNext w:val="0"/>
        <w:keepLines w:val="0"/>
        <w:widowControl w:val="0"/>
        <w:numPr>
          <w:ilvl w:val="0"/>
          <w:numId w:val="0"/>
        </w:numPr>
        <w:pBdr>
          <w:top w:val="none" w:color="auto" w:sz="0" w:space="0"/>
        </w:pBdr>
        <w:tabs>
          <w:tab w:val="left" w:pos="432"/>
          <w:tab w:val="left" w:pos="2630"/>
        </w:tabs>
        <w:overflowPunct/>
        <w:snapToGrid w:val="0"/>
        <w:spacing w:beforeLines="100" w:after="120" w:afterLines="50" w:line="260" w:lineRule="auto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hint="eastAsia" w:eastAsia="黑体" w:cs="Times New Roman"/>
          <w:b/>
          <w:bCs/>
          <w:sz w:val="28"/>
          <w:szCs w:val="30"/>
          <w:lang w:val="en-US"/>
        </w:rPr>
        <w:t>Reference</w:t>
      </w:r>
      <w:r>
        <w:rPr>
          <w:rFonts w:eastAsia="黑体" w:cs="Times New Roman"/>
          <w:b/>
          <w:bCs/>
          <w:sz w:val="28"/>
          <w:szCs w:val="30"/>
          <w:lang w:val="en-US"/>
        </w:rPr>
        <w:tab/>
      </w:r>
    </w:p>
    <w:p>
      <w:pPr>
        <w:pStyle w:val="28"/>
        <w:numPr>
          <w:ilvl w:val="0"/>
          <w:numId w:val="8"/>
        </w:numPr>
        <w:spacing w:after="0" w:line="240" w:lineRule="auto"/>
        <w:ind w:left="505" w:hanging="505"/>
        <w:jc w:val="both"/>
        <w:rPr>
          <w:rFonts w:ascii="Times New Roman" w:hAnsi="Times New Roman" w:cs="Times New Roman"/>
          <w:sz w:val="20"/>
          <w:szCs w:val="20"/>
        </w:rPr>
      </w:pPr>
      <w:bookmarkStart w:id="3" w:name="_Ref32552"/>
      <w:bookmarkStart w:id="4" w:name="_Ref158015692"/>
      <w:bookmarkStart w:id="5" w:name="_Ref2933"/>
      <w:bookmarkStart w:id="6" w:name="_Ref10563"/>
      <w:r>
        <w:rPr>
          <w:rFonts w:hint="eastAsia" w:ascii="Times New Roman" w:hAnsi="Times New Roman" w:cs="Times New Roman"/>
          <w:sz w:val="20"/>
          <w:szCs w:val="20"/>
        </w:rPr>
        <w:t>Draft_Minutes_report_RAN1#121b_v010.</w:t>
      </w:r>
    </w:p>
    <w:p>
      <w:pPr>
        <w:pStyle w:val="28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bookmarkEnd w:id="3"/>
    <w:bookmarkEnd w:id="4"/>
    <w:bookmarkEnd w:id="5"/>
    <w:bookmarkEnd w:id="6"/>
    <w:p>
      <w:pPr>
        <w:pStyle w:val="28"/>
        <w:numPr>
          <w:ilvl w:val="255"/>
          <w:numId w:val="0"/>
        </w:num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552047"/>
    <w:multiLevelType w:val="multilevel"/>
    <w:tmpl w:val="02552047"/>
    <w:lvl w:ilvl="0" w:tentative="0">
      <w:start w:val="1"/>
      <w:numFmt w:val="decimal"/>
      <w:pStyle w:val="2"/>
      <w:lvlText w:val="%1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576" w:hanging="576"/>
      </w:pPr>
      <w:rPr>
        <w:rFonts w:hint="default"/>
        <w:sz w:val="24"/>
        <w:szCs w:val="24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18D3F158"/>
    <w:multiLevelType w:val="multilevel"/>
    <w:tmpl w:val="18D3F15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850" w:hanging="453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508" w:hanging="708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053" w:hanging="853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495" w:hanging="895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3136" w:hanging="11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673" w:hanging="1273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42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648" w:hanging="1448"/>
      </w:pPr>
      <w:rPr>
        <w:rFonts w:hint="default"/>
      </w:rPr>
    </w:lvl>
  </w:abstractNum>
  <w:abstractNum w:abstractNumId="2">
    <w:nsid w:val="375E5369"/>
    <w:multiLevelType w:val="singleLevel"/>
    <w:tmpl w:val="375E5369"/>
    <w:lvl w:ilvl="0" w:tentative="0">
      <w:start w:val="1"/>
      <w:numFmt w:val="bullet"/>
      <w:lvlText w:val="·"/>
      <w:lvlJc w:val="left"/>
      <w:pPr>
        <w:ind w:left="420" w:hanging="420"/>
      </w:pPr>
      <w:rPr>
        <w:rFonts w:hint="default" w:ascii="仿宋" w:hAnsi="仿宋" w:eastAsia="仿宋" w:cs="仿宋"/>
      </w:rPr>
    </w:lvl>
  </w:abstractNum>
  <w:abstractNum w:abstractNumId="3">
    <w:nsid w:val="39CD4035"/>
    <w:multiLevelType w:val="multilevel"/>
    <w:tmpl w:val="39CD4035"/>
    <w:lvl w:ilvl="0" w:tentative="0">
      <w:start w:val="1"/>
      <w:numFmt w:val="bullet"/>
      <w:lvlText w:val="·"/>
      <w:lvlJc w:val="left"/>
      <w:pPr>
        <w:ind w:left="1140" w:hanging="420"/>
      </w:pPr>
      <w:rPr>
        <w:rFonts w:hint="eastAsia" w:ascii="仿宋" w:hAnsi="仿宋" w:eastAsia="仿宋"/>
      </w:rPr>
    </w:lvl>
    <w:lvl w:ilvl="1" w:tentative="0">
      <w:start w:val="1"/>
      <w:numFmt w:val="bullet"/>
      <w:lvlText w:val=""/>
      <w:lvlJc w:val="left"/>
      <w:pPr>
        <w:ind w:left="15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9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4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8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2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6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0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500" w:hanging="420"/>
      </w:pPr>
      <w:rPr>
        <w:rFonts w:hint="default" w:ascii="Wingdings" w:hAnsi="Wingdings"/>
      </w:rPr>
    </w:lvl>
  </w:abstractNum>
  <w:abstractNum w:abstractNumId="4">
    <w:nsid w:val="426B4A38"/>
    <w:multiLevelType w:val="multilevel"/>
    <w:tmpl w:val="426B4A38"/>
    <w:lvl w:ilvl="0" w:tentative="0">
      <w:start w:val="1"/>
      <w:numFmt w:val="decimalZero"/>
      <w:pStyle w:val="43"/>
      <w:lvlText w:val="[00%1]"/>
      <w:lvlJc w:val="left"/>
      <w:pPr>
        <w:tabs>
          <w:tab w:val="left" w:pos="1080"/>
        </w:tabs>
        <w:ind w:left="0" w:firstLine="0"/>
      </w:pPr>
      <w:rPr>
        <w:rFonts w:hint="default"/>
        <w:b/>
        <w:i w:val="0"/>
        <w:color w:val="auto"/>
        <w:sz w:val="24"/>
        <w:szCs w:val="24"/>
      </w:rPr>
    </w:lvl>
    <w:lvl w:ilvl="1" w:tentative="0">
      <w:start w:val="1"/>
      <w:numFmt w:val="lowerLetter"/>
      <w:lvlText w:val="%2)"/>
      <w:lvlJc w:val="left"/>
      <w:pPr>
        <w:tabs>
          <w:tab w:val="left" w:pos="810"/>
        </w:tabs>
        <w:ind w:left="81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530"/>
        </w:tabs>
        <w:ind w:left="1530" w:hanging="180"/>
      </w:pPr>
    </w:lvl>
    <w:lvl w:ilvl="3" w:tentative="0">
      <w:start w:val="1"/>
      <w:numFmt w:val="decimal"/>
      <w:lvlText w:val="%4."/>
      <w:lvlJc w:val="left"/>
      <w:pPr>
        <w:tabs>
          <w:tab w:val="left" w:pos="2250"/>
        </w:tabs>
        <w:ind w:left="225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2970"/>
        </w:tabs>
        <w:ind w:left="297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690"/>
        </w:tabs>
        <w:ind w:left="3690" w:hanging="180"/>
      </w:pPr>
    </w:lvl>
    <w:lvl w:ilvl="6" w:tentative="0">
      <w:start w:val="1"/>
      <w:numFmt w:val="decimal"/>
      <w:lvlText w:val="%7."/>
      <w:lvlJc w:val="left"/>
      <w:pPr>
        <w:tabs>
          <w:tab w:val="left" w:pos="4410"/>
        </w:tabs>
        <w:ind w:left="441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130"/>
        </w:tabs>
        <w:ind w:left="513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5850"/>
        </w:tabs>
        <w:ind w:left="5850" w:hanging="180"/>
      </w:pPr>
    </w:lvl>
  </w:abstractNum>
  <w:abstractNum w:abstractNumId="5">
    <w:nsid w:val="4916558B"/>
    <w:multiLevelType w:val="singleLevel"/>
    <w:tmpl w:val="4916558B"/>
    <w:lvl w:ilvl="0" w:tentative="0">
      <w:start w:val="1"/>
      <w:numFmt w:val="bullet"/>
      <w:lvlText w:val="‐"/>
      <w:lvlJc w:val="left"/>
      <w:pPr>
        <w:ind w:left="420" w:hanging="420"/>
      </w:pPr>
      <w:rPr>
        <w:rFonts w:hint="default" w:ascii="仿宋" w:hAnsi="仿宋" w:eastAsia="仿宋" w:cs="仿宋"/>
      </w:rPr>
    </w:lvl>
  </w:abstractNum>
  <w:abstractNum w:abstractNumId="6">
    <w:nsid w:val="4A7E110B"/>
    <w:multiLevelType w:val="multilevel"/>
    <w:tmpl w:val="4A7E110B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DF4006D"/>
    <w:multiLevelType w:val="multilevel"/>
    <w:tmpl w:val="6DF4006D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7"/>
  </w:num>
  <w:num w:numId="5">
    <w:abstractNumId w:val="3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9BE"/>
    <w:rsid w:val="00004DF2"/>
    <w:rsid w:val="00007764"/>
    <w:rsid w:val="00010661"/>
    <w:rsid w:val="000139C8"/>
    <w:rsid w:val="00014155"/>
    <w:rsid w:val="00014FBE"/>
    <w:rsid w:val="00015922"/>
    <w:rsid w:val="000179D0"/>
    <w:rsid w:val="00020ACD"/>
    <w:rsid w:val="00020D74"/>
    <w:rsid w:val="00025C03"/>
    <w:rsid w:val="00026EB7"/>
    <w:rsid w:val="00034B6A"/>
    <w:rsid w:val="000351A8"/>
    <w:rsid w:val="000357EB"/>
    <w:rsid w:val="0003653D"/>
    <w:rsid w:val="000429B5"/>
    <w:rsid w:val="0004527F"/>
    <w:rsid w:val="00054D2C"/>
    <w:rsid w:val="0005582F"/>
    <w:rsid w:val="0005674D"/>
    <w:rsid w:val="0005721F"/>
    <w:rsid w:val="00057891"/>
    <w:rsid w:val="00057D1B"/>
    <w:rsid w:val="00061556"/>
    <w:rsid w:val="00063AA8"/>
    <w:rsid w:val="00066FBC"/>
    <w:rsid w:val="0006742E"/>
    <w:rsid w:val="00073767"/>
    <w:rsid w:val="0007626B"/>
    <w:rsid w:val="0007702C"/>
    <w:rsid w:val="0008090C"/>
    <w:rsid w:val="000833CE"/>
    <w:rsid w:val="00083791"/>
    <w:rsid w:val="0008667E"/>
    <w:rsid w:val="00095520"/>
    <w:rsid w:val="000A078D"/>
    <w:rsid w:val="000A0A27"/>
    <w:rsid w:val="000A0C3B"/>
    <w:rsid w:val="000A1578"/>
    <w:rsid w:val="000A1777"/>
    <w:rsid w:val="000A237E"/>
    <w:rsid w:val="000A42A5"/>
    <w:rsid w:val="000A5EB8"/>
    <w:rsid w:val="000B1893"/>
    <w:rsid w:val="000B2109"/>
    <w:rsid w:val="000B224E"/>
    <w:rsid w:val="000B37A3"/>
    <w:rsid w:val="000B4BC9"/>
    <w:rsid w:val="000B54AC"/>
    <w:rsid w:val="000B5CC3"/>
    <w:rsid w:val="000B6071"/>
    <w:rsid w:val="000B77A1"/>
    <w:rsid w:val="000C5155"/>
    <w:rsid w:val="000C6FDE"/>
    <w:rsid w:val="000D0482"/>
    <w:rsid w:val="000D113F"/>
    <w:rsid w:val="000D4FBC"/>
    <w:rsid w:val="000D58D4"/>
    <w:rsid w:val="000E1CD6"/>
    <w:rsid w:val="000E428C"/>
    <w:rsid w:val="000E43EF"/>
    <w:rsid w:val="000E65DF"/>
    <w:rsid w:val="000F35A7"/>
    <w:rsid w:val="000F4635"/>
    <w:rsid w:val="001005DF"/>
    <w:rsid w:val="00101276"/>
    <w:rsid w:val="00104756"/>
    <w:rsid w:val="001074E3"/>
    <w:rsid w:val="0010757D"/>
    <w:rsid w:val="00111AC4"/>
    <w:rsid w:val="00116C64"/>
    <w:rsid w:val="00117793"/>
    <w:rsid w:val="00122DA9"/>
    <w:rsid w:val="00124527"/>
    <w:rsid w:val="00125D48"/>
    <w:rsid w:val="00126772"/>
    <w:rsid w:val="001328DC"/>
    <w:rsid w:val="00134A0D"/>
    <w:rsid w:val="00141D5E"/>
    <w:rsid w:val="00143DBE"/>
    <w:rsid w:val="0014473C"/>
    <w:rsid w:val="00144F89"/>
    <w:rsid w:val="0014776F"/>
    <w:rsid w:val="00150434"/>
    <w:rsid w:val="00150CE7"/>
    <w:rsid w:val="00151294"/>
    <w:rsid w:val="001514B2"/>
    <w:rsid w:val="00155D7D"/>
    <w:rsid w:val="001612D7"/>
    <w:rsid w:val="001628D3"/>
    <w:rsid w:val="00163F4C"/>
    <w:rsid w:val="00171966"/>
    <w:rsid w:val="00172A27"/>
    <w:rsid w:val="00174153"/>
    <w:rsid w:val="00183330"/>
    <w:rsid w:val="00183A07"/>
    <w:rsid w:val="00184AC8"/>
    <w:rsid w:val="001859C5"/>
    <w:rsid w:val="001914CF"/>
    <w:rsid w:val="001945F7"/>
    <w:rsid w:val="001954B3"/>
    <w:rsid w:val="00195602"/>
    <w:rsid w:val="00197AEF"/>
    <w:rsid w:val="001A28B7"/>
    <w:rsid w:val="001A3B5B"/>
    <w:rsid w:val="001B06CC"/>
    <w:rsid w:val="001B410A"/>
    <w:rsid w:val="001B5A89"/>
    <w:rsid w:val="001B68F8"/>
    <w:rsid w:val="001C0CDB"/>
    <w:rsid w:val="001C3539"/>
    <w:rsid w:val="001C753E"/>
    <w:rsid w:val="001D0196"/>
    <w:rsid w:val="001D19C1"/>
    <w:rsid w:val="001D2050"/>
    <w:rsid w:val="001D21DF"/>
    <w:rsid w:val="001D2FCC"/>
    <w:rsid w:val="001D6B75"/>
    <w:rsid w:val="001D7137"/>
    <w:rsid w:val="001E07F6"/>
    <w:rsid w:val="001E129D"/>
    <w:rsid w:val="001E186A"/>
    <w:rsid w:val="001E2A02"/>
    <w:rsid w:val="001E4EF0"/>
    <w:rsid w:val="001E5689"/>
    <w:rsid w:val="001E6E26"/>
    <w:rsid w:val="001E72E9"/>
    <w:rsid w:val="001F05E4"/>
    <w:rsid w:val="001F27BA"/>
    <w:rsid w:val="001F3C01"/>
    <w:rsid w:val="001F4546"/>
    <w:rsid w:val="001F51CA"/>
    <w:rsid w:val="001F631C"/>
    <w:rsid w:val="001F73AF"/>
    <w:rsid w:val="00203E53"/>
    <w:rsid w:val="002046B8"/>
    <w:rsid w:val="00204CAB"/>
    <w:rsid w:val="00205532"/>
    <w:rsid w:val="00207453"/>
    <w:rsid w:val="00211C15"/>
    <w:rsid w:val="00214B75"/>
    <w:rsid w:val="002162DB"/>
    <w:rsid w:val="0022021F"/>
    <w:rsid w:val="002207B4"/>
    <w:rsid w:val="00221974"/>
    <w:rsid w:val="00222A3E"/>
    <w:rsid w:val="00223AF4"/>
    <w:rsid w:val="00225F89"/>
    <w:rsid w:val="0023770D"/>
    <w:rsid w:val="00237CB6"/>
    <w:rsid w:val="00245E67"/>
    <w:rsid w:val="00251EB0"/>
    <w:rsid w:val="00255736"/>
    <w:rsid w:val="00260200"/>
    <w:rsid w:val="002633E4"/>
    <w:rsid w:val="002633FA"/>
    <w:rsid w:val="00265AF7"/>
    <w:rsid w:val="00273E00"/>
    <w:rsid w:val="00280E75"/>
    <w:rsid w:val="00282386"/>
    <w:rsid w:val="00282C56"/>
    <w:rsid w:val="00286B13"/>
    <w:rsid w:val="00290DFD"/>
    <w:rsid w:val="0029101B"/>
    <w:rsid w:val="002919E1"/>
    <w:rsid w:val="002936E6"/>
    <w:rsid w:val="002968FF"/>
    <w:rsid w:val="00296AF4"/>
    <w:rsid w:val="002A0733"/>
    <w:rsid w:val="002A19CB"/>
    <w:rsid w:val="002A5914"/>
    <w:rsid w:val="002A67BF"/>
    <w:rsid w:val="002A7480"/>
    <w:rsid w:val="002B13FE"/>
    <w:rsid w:val="002B179A"/>
    <w:rsid w:val="002B4F46"/>
    <w:rsid w:val="002B71D6"/>
    <w:rsid w:val="002C2581"/>
    <w:rsid w:val="002C46A7"/>
    <w:rsid w:val="002C4E9E"/>
    <w:rsid w:val="002C6631"/>
    <w:rsid w:val="002C7039"/>
    <w:rsid w:val="002D0A9A"/>
    <w:rsid w:val="002D0E0C"/>
    <w:rsid w:val="002D3755"/>
    <w:rsid w:val="002D4344"/>
    <w:rsid w:val="002D519E"/>
    <w:rsid w:val="002D7396"/>
    <w:rsid w:val="002E4CF3"/>
    <w:rsid w:val="002F0537"/>
    <w:rsid w:val="002F1874"/>
    <w:rsid w:val="002F1F87"/>
    <w:rsid w:val="002F30DE"/>
    <w:rsid w:val="002F3B77"/>
    <w:rsid w:val="002F6513"/>
    <w:rsid w:val="00301ED4"/>
    <w:rsid w:val="00305397"/>
    <w:rsid w:val="00311F98"/>
    <w:rsid w:val="003140DB"/>
    <w:rsid w:val="00314567"/>
    <w:rsid w:val="00316011"/>
    <w:rsid w:val="003178AC"/>
    <w:rsid w:val="003247F2"/>
    <w:rsid w:val="0032669A"/>
    <w:rsid w:val="00332A15"/>
    <w:rsid w:val="00332AB5"/>
    <w:rsid w:val="00332E37"/>
    <w:rsid w:val="00334EA0"/>
    <w:rsid w:val="00335688"/>
    <w:rsid w:val="00335AF0"/>
    <w:rsid w:val="003371AE"/>
    <w:rsid w:val="003401B2"/>
    <w:rsid w:val="003416DF"/>
    <w:rsid w:val="00342959"/>
    <w:rsid w:val="00342E02"/>
    <w:rsid w:val="00343AFC"/>
    <w:rsid w:val="0034415F"/>
    <w:rsid w:val="00345635"/>
    <w:rsid w:val="00347D6F"/>
    <w:rsid w:val="00350DB8"/>
    <w:rsid w:val="00350EB0"/>
    <w:rsid w:val="00353F7D"/>
    <w:rsid w:val="003552CD"/>
    <w:rsid w:val="00355FCF"/>
    <w:rsid w:val="003573F7"/>
    <w:rsid w:val="00357889"/>
    <w:rsid w:val="003579C9"/>
    <w:rsid w:val="00361539"/>
    <w:rsid w:val="00363C09"/>
    <w:rsid w:val="00364A8B"/>
    <w:rsid w:val="00365BDC"/>
    <w:rsid w:val="003755EC"/>
    <w:rsid w:val="003758AC"/>
    <w:rsid w:val="003761E5"/>
    <w:rsid w:val="00380E55"/>
    <w:rsid w:val="003853BC"/>
    <w:rsid w:val="00385B15"/>
    <w:rsid w:val="00392465"/>
    <w:rsid w:val="003934F8"/>
    <w:rsid w:val="00396148"/>
    <w:rsid w:val="00396FDA"/>
    <w:rsid w:val="0039745B"/>
    <w:rsid w:val="00397AE7"/>
    <w:rsid w:val="00397BAA"/>
    <w:rsid w:val="00397BBC"/>
    <w:rsid w:val="003A0763"/>
    <w:rsid w:val="003A0BD6"/>
    <w:rsid w:val="003B23FE"/>
    <w:rsid w:val="003B26E4"/>
    <w:rsid w:val="003B56D7"/>
    <w:rsid w:val="003C2107"/>
    <w:rsid w:val="003C3C70"/>
    <w:rsid w:val="003D674C"/>
    <w:rsid w:val="003D6B19"/>
    <w:rsid w:val="003E3E3A"/>
    <w:rsid w:val="003E6293"/>
    <w:rsid w:val="003F0BAF"/>
    <w:rsid w:val="003F1C73"/>
    <w:rsid w:val="003F3770"/>
    <w:rsid w:val="003F79EF"/>
    <w:rsid w:val="004037A9"/>
    <w:rsid w:val="0040661F"/>
    <w:rsid w:val="004078B8"/>
    <w:rsid w:val="00410235"/>
    <w:rsid w:val="004116B4"/>
    <w:rsid w:val="004135A0"/>
    <w:rsid w:val="00417110"/>
    <w:rsid w:val="00422100"/>
    <w:rsid w:val="00425415"/>
    <w:rsid w:val="00426A3D"/>
    <w:rsid w:val="00430CF9"/>
    <w:rsid w:val="00430E84"/>
    <w:rsid w:val="004319CA"/>
    <w:rsid w:val="00431A5D"/>
    <w:rsid w:val="00431C95"/>
    <w:rsid w:val="00434684"/>
    <w:rsid w:val="004356A6"/>
    <w:rsid w:val="00437898"/>
    <w:rsid w:val="00440760"/>
    <w:rsid w:val="0044101B"/>
    <w:rsid w:val="00441A19"/>
    <w:rsid w:val="00441E8A"/>
    <w:rsid w:val="00442E5E"/>
    <w:rsid w:val="004436F9"/>
    <w:rsid w:val="00445CAB"/>
    <w:rsid w:val="004513E6"/>
    <w:rsid w:val="00451E19"/>
    <w:rsid w:val="00451EF6"/>
    <w:rsid w:val="00454852"/>
    <w:rsid w:val="0045672F"/>
    <w:rsid w:val="0045759C"/>
    <w:rsid w:val="004579CF"/>
    <w:rsid w:val="00462D69"/>
    <w:rsid w:val="004637DB"/>
    <w:rsid w:val="004648DB"/>
    <w:rsid w:val="00465488"/>
    <w:rsid w:val="00467495"/>
    <w:rsid w:val="004710EA"/>
    <w:rsid w:val="00471A5A"/>
    <w:rsid w:val="00472246"/>
    <w:rsid w:val="0047289C"/>
    <w:rsid w:val="00472D3D"/>
    <w:rsid w:val="004738B0"/>
    <w:rsid w:val="00474B84"/>
    <w:rsid w:val="00475894"/>
    <w:rsid w:val="004770F4"/>
    <w:rsid w:val="00482F7E"/>
    <w:rsid w:val="0048318D"/>
    <w:rsid w:val="00485192"/>
    <w:rsid w:val="004914C1"/>
    <w:rsid w:val="00491BF8"/>
    <w:rsid w:val="00495737"/>
    <w:rsid w:val="00497C9C"/>
    <w:rsid w:val="004A0C50"/>
    <w:rsid w:val="004A291D"/>
    <w:rsid w:val="004A37B5"/>
    <w:rsid w:val="004A3905"/>
    <w:rsid w:val="004A6588"/>
    <w:rsid w:val="004A6640"/>
    <w:rsid w:val="004A6CD9"/>
    <w:rsid w:val="004A7E90"/>
    <w:rsid w:val="004B28E2"/>
    <w:rsid w:val="004B3513"/>
    <w:rsid w:val="004B36C7"/>
    <w:rsid w:val="004B5F6E"/>
    <w:rsid w:val="004B6063"/>
    <w:rsid w:val="004B697A"/>
    <w:rsid w:val="004B78BA"/>
    <w:rsid w:val="004C4977"/>
    <w:rsid w:val="004C5740"/>
    <w:rsid w:val="004D1104"/>
    <w:rsid w:val="004D3181"/>
    <w:rsid w:val="004D39DB"/>
    <w:rsid w:val="004D69F2"/>
    <w:rsid w:val="004D775D"/>
    <w:rsid w:val="004E05AF"/>
    <w:rsid w:val="004E0C01"/>
    <w:rsid w:val="004E3ACD"/>
    <w:rsid w:val="004E5AF0"/>
    <w:rsid w:val="004F03E6"/>
    <w:rsid w:val="004F49A0"/>
    <w:rsid w:val="004F4AF3"/>
    <w:rsid w:val="004F528B"/>
    <w:rsid w:val="004F62EE"/>
    <w:rsid w:val="004F754D"/>
    <w:rsid w:val="004F75B9"/>
    <w:rsid w:val="004F776F"/>
    <w:rsid w:val="004F7853"/>
    <w:rsid w:val="004F7FE3"/>
    <w:rsid w:val="00500376"/>
    <w:rsid w:val="005008B0"/>
    <w:rsid w:val="00500A14"/>
    <w:rsid w:val="00505267"/>
    <w:rsid w:val="00510919"/>
    <w:rsid w:val="0051302E"/>
    <w:rsid w:val="00517B2E"/>
    <w:rsid w:val="00520395"/>
    <w:rsid w:val="00520E65"/>
    <w:rsid w:val="005332A0"/>
    <w:rsid w:val="00536BAA"/>
    <w:rsid w:val="00540708"/>
    <w:rsid w:val="00542CCB"/>
    <w:rsid w:val="005434FE"/>
    <w:rsid w:val="00543D3A"/>
    <w:rsid w:val="005453C8"/>
    <w:rsid w:val="00551616"/>
    <w:rsid w:val="00552969"/>
    <w:rsid w:val="00556B4D"/>
    <w:rsid w:val="005610CB"/>
    <w:rsid w:val="00563061"/>
    <w:rsid w:val="005647C8"/>
    <w:rsid w:val="005666B0"/>
    <w:rsid w:val="0058050C"/>
    <w:rsid w:val="0058472C"/>
    <w:rsid w:val="0058500C"/>
    <w:rsid w:val="005900DB"/>
    <w:rsid w:val="00590A36"/>
    <w:rsid w:val="00591DA4"/>
    <w:rsid w:val="00594AF1"/>
    <w:rsid w:val="00594D59"/>
    <w:rsid w:val="005963A2"/>
    <w:rsid w:val="005A04C6"/>
    <w:rsid w:val="005A3F31"/>
    <w:rsid w:val="005A4438"/>
    <w:rsid w:val="005A64F6"/>
    <w:rsid w:val="005A6E7D"/>
    <w:rsid w:val="005B0735"/>
    <w:rsid w:val="005B13FE"/>
    <w:rsid w:val="005B560A"/>
    <w:rsid w:val="005B7DEF"/>
    <w:rsid w:val="005C0BFD"/>
    <w:rsid w:val="005C28E7"/>
    <w:rsid w:val="005C6294"/>
    <w:rsid w:val="005D1271"/>
    <w:rsid w:val="005D1EBB"/>
    <w:rsid w:val="005D6C77"/>
    <w:rsid w:val="005D7779"/>
    <w:rsid w:val="005E1D2C"/>
    <w:rsid w:val="005E3045"/>
    <w:rsid w:val="005E3EC1"/>
    <w:rsid w:val="005E722F"/>
    <w:rsid w:val="005F05BC"/>
    <w:rsid w:val="005F348F"/>
    <w:rsid w:val="005F401A"/>
    <w:rsid w:val="005F42EB"/>
    <w:rsid w:val="005F65FA"/>
    <w:rsid w:val="005F6CD9"/>
    <w:rsid w:val="00600E6E"/>
    <w:rsid w:val="00602286"/>
    <w:rsid w:val="00603774"/>
    <w:rsid w:val="00605B70"/>
    <w:rsid w:val="00606F8B"/>
    <w:rsid w:val="0061200B"/>
    <w:rsid w:val="00612837"/>
    <w:rsid w:val="006158DF"/>
    <w:rsid w:val="00616B65"/>
    <w:rsid w:val="00617D34"/>
    <w:rsid w:val="00624DD8"/>
    <w:rsid w:val="00627CE8"/>
    <w:rsid w:val="00627E7C"/>
    <w:rsid w:val="006315DA"/>
    <w:rsid w:val="00632CEB"/>
    <w:rsid w:val="00633EEB"/>
    <w:rsid w:val="00635ADA"/>
    <w:rsid w:val="006375A2"/>
    <w:rsid w:val="00637AAA"/>
    <w:rsid w:val="00641EFF"/>
    <w:rsid w:val="00643D4D"/>
    <w:rsid w:val="00644F76"/>
    <w:rsid w:val="00650655"/>
    <w:rsid w:val="006516F6"/>
    <w:rsid w:val="00651FA7"/>
    <w:rsid w:val="00655739"/>
    <w:rsid w:val="00655DB4"/>
    <w:rsid w:val="00661BBB"/>
    <w:rsid w:val="006621A5"/>
    <w:rsid w:val="00664E56"/>
    <w:rsid w:val="00665C96"/>
    <w:rsid w:val="006708AC"/>
    <w:rsid w:val="00672FC7"/>
    <w:rsid w:val="0067514E"/>
    <w:rsid w:val="00675722"/>
    <w:rsid w:val="006761DB"/>
    <w:rsid w:val="0067792B"/>
    <w:rsid w:val="00677F24"/>
    <w:rsid w:val="00680A6C"/>
    <w:rsid w:val="00681C25"/>
    <w:rsid w:val="00685696"/>
    <w:rsid w:val="006861AB"/>
    <w:rsid w:val="006903BA"/>
    <w:rsid w:val="00690B76"/>
    <w:rsid w:val="006913E5"/>
    <w:rsid w:val="00691417"/>
    <w:rsid w:val="006916B2"/>
    <w:rsid w:val="0069185C"/>
    <w:rsid w:val="00692430"/>
    <w:rsid w:val="00693EE6"/>
    <w:rsid w:val="00695B9D"/>
    <w:rsid w:val="006A1E01"/>
    <w:rsid w:val="006A5BBA"/>
    <w:rsid w:val="006A7310"/>
    <w:rsid w:val="006B133E"/>
    <w:rsid w:val="006B2B01"/>
    <w:rsid w:val="006B3493"/>
    <w:rsid w:val="006B481D"/>
    <w:rsid w:val="006B6268"/>
    <w:rsid w:val="006C752F"/>
    <w:rsid w:val="006D19C2"/>
    <w:rsid w:val="006D3FCB"/>
    <w:rsid w:val="006E0927"/>
    <w:rsid w:val="006E2227"/>
    <w:rsid w:val="006E3939"/>
    <w:rsid w:val="006E4FFC"/>
    <w:rsid w:val="006E5859"/>
    <w:rsid w:val="006F30C8"/>
    <w:rsid w:val="006F670C"/>
    <w:rsid w:val="006F7B81"/>
    <w:rsid w:val="006F7BF9"/>
    <w:rsid w:val="006F7C56"/>
    <w:rsid w:val="007023F3"/>
    <w:rsid w:val="00702EE9"/>
    <w:rsid w:val="00703A19"/>
    <w:rsid w:val="00704123"/>
    <w:rsid w:val="00706EDC"/>
    <w:rsid w:val="00706F5A"/>
    <w:rsid w:val="007074BB"/>
    <w:rsid w:val="00720FE7"/>
    <w:rsid w:val="0072197F"/>
    <w:rsid w:val="00725951"/>
    <w:rsid w:val="00731DE0"/>
    <w:rsid w:val="007358B7"/>
    <w:rsid w:val="00736C98"/>
    <w:rsid w:val="00741698"/>
    <w:rsid w:val="0074515A"/>
    <w:rsid w:val="00746526"/>
    <w:rsid w:val="0074696E"/>
    <w:rsid w:val="00747810"/>
    <w:rsid w:val="00751B58"/>
    <w:rsid w:val="00752259"/>
    <w:rsid w:val="00753C73"/>
    <w:rsid w:val="0075547E"/>
    <w:rsid w:val="007557A1"/>
    <w:rsid w:val="00755E88"/>
    <w:rsid w:val="00760F63"/>
    <w:rsid w:val="007636B9"/>
    <w:rsid w:val="007642B5"/>
    <w:rsid w:val="00765666"/>
    <w:rsid w:val="00766E10"/>
    <w:rsid w:val="00771E86"/>
    <w:rsid w:val="007735A9"/>
    <w:rsid w:val="00776595"/>
    <w:rsid w:val="00783E34"/>
    <w:rsid w:val="0078428E"/>
    <w:rsid w:val="00787DD0"/>
    <w:rsid w:val="007920BE"/>
    <w:rsid w:val="00792B3A"/>
    <w:rsid w:val="0079451A"/>
    <w:rsid w:val="0079548A"/>
    <w:rsid w:val="007A0BEC"/>
    <w:rsid w:val="007A279D"/>
    <w:rsid w:val="007A4247"/>
    <w:rsid w:val="007A482D"/>
    <w:rsid w:val="007A565B"/>
    <w:rsid w:val="007A5EC9"/>
    <w:rsid w:val="007A7320"/>
    <w:rsid w:val="007B059A"/>
    <w:rsid w:val="007B092E"/>
    <w:rsid w:val="007B0B10"/>
    <w:rsid w:val="007B0DFF"/>
    <w:rsid w:val="007B1CCD"/>
    <w:rsid w:val="007B260D"/>
    <w:rsid w:val="007B448E"/>
    <w:rsid w:val="007B6044"/>
    <w:rsid w:val="007C1C81"/>
    <w:rsid w:val="007C4429"/>
    <w:rsid w:val="007C5CF5"/>
    <w:rsid w:val="007C6AEE"/>
    <w:rsid w:val="007D26E5"/>
    <w:rsid w:val="007D2F4A"/>
    <w:rsid w:val="007D30EA"/>
    <w:rsid w:val="007D4CAF"/>
    <w:rsid w:val="007D729E"/>
    <w:rsid w:val="007D7482"/>
    <w:rsid w:val="007E4EEC"/>
    <w:rsid w:val="007E58B4"/>
    <w:rsid w:val="007E6570"/>
    <w:rsid w:val="007F4B43"/>
    <w:rsid w:val="00800BA1"/>
    <w:rsid w:val="008042FC"/>
    <w:rsid w:val="00804A83"/>
    <w:rsid w:val="00805812"/>
    <w:rsid w:val="00806A22"/>
    <w:rsid w:val="008119DE"/>
    <w:rsid w:val="00812F10"/>
    <w:rsid w:val="00817C79"/>
    <w:rsid w:val="00821AC3"/>
    <w:rsid w:val="00824CF8"/>
    <w:rsid w:val="00826696"/>
    <w:rsid w:val="00830F84"/>
    <w:rsid w:val="0083240D"/>
    <w:rsid w:val="0084105F"/>
    <w:rsid w:val="0084202C"/>
    <w:rsid w:val="00850EC4"/>
    <w:rsid w:val="00857A37"/>
    <w:rsid w:val="00860492"/>
    <w:rsid w:val="0086159D"/>
    <w:rsid w:val="00862500"/>
    <w:rsid w:val="00862AC7"/>
    <w:rsid w:val="0086361B"/>
    <w:rsid w:val="00873EA5"/>
    <w:rsid w:val="00874018"/>
    <w:rsid w:val="00874424"/>
    <w:rsid w:val="00875E37"/>
    <w:rsid w:val="00882487"/>
    <w:rsid w:val="008833A0"/>
    <w:rsid w:val="00887CFA"/>
    <w:rsid w:val="00893985"/>
    <w:rsid w:val="008944E4"/>
    <w:rsid w:val="008951BD"/>
    <w:rsid w:val="00896623"/>
    <w:rsid w:val="00897FCA"/>
    <w:rsid w:val="008A2948"/>
    <w:rsid w:val="008A2B08"/>
    <w:rsid w:val="008A33A4"/>
    <w:rsid w:val="008A4E5C"/>
    <w:rsid w:val="008A6A98"/>
    <w:rsid w:val="008B0B9B"/>
    <w:rsid w:val="008B1F3F"/>
    <w:rsid w:val="008B37AC"/>
    <w:rsid w:val="008B6018"/>
    <w:rsid w:val="008B6B23"/>
    <w:rsid w:val="008B7A2E"/>
    <w:rsid w:val="008C0B7F"/>
    <w:rsid w:val="008C5095"/>
    <w:rsid w:val="008C5D16"/>
    <w:rsid w:val="008C7C79"/>
    <w:rsid w:val="008D3698"/>
    <w:rsid w:val="008D50D1"/>
    <w:rsid w:val="008D6D6D"/>
    <w:rsid w:val="008E142E"/>
    <w:rsid w:val="008E4956"/>
    <w:rsid w:val="008E5779"/>
    <w:rsid w:val="008E731B"/>
    <w:rsid w:val="008F0546"/>
    <w:rsid w:val="008F19CE"/>
    <w:rsid w:val="008F1B0C"/>
    <w:rsid w:val="008F2F4A"/>
    <w:rsid w:val="008F5ACC"/>
    <w:rsid w:val="008F61B0"/>
    <w:rsid w:val="009002D1"/>
    <w:rsid w:val="009062E5"/>
    <w:rsid w:val="00912640"/>
    <w:rsid w:val="009147B7"/>
    <w:rsid w:val="00914CC2"/>
    <w:rsid w:val="009203EA"/>
    <w:rsid w:val="009219BB"/>
    <w:rsid w:val="00922038"/>
    <w:rsid w:val="00930332"/>
    <w:rsid w:val="00931345"/>
    <w:rsid w:val="00935DAD"/>
    <w:rsid w:val="0093602C"/>
    <w:rsid w:val="00936527"/>
    <w:rsid w:val="00943B6B"/>
    <w:rsid w:val="0094422B"/>
    <w:rsid w:val="00952102"/>
    <w:rsid w:val="00955E1D"/>
    <w:rsid w:val="009565DA"/>
    <w:rsid w:val="00960F0C"/>
    <w:rsid w:val="00961559"/>
    <w:rsid w:val="00964611"/>
    <w:rsid w:val="00964AD7"/>
    <w:rsid w:val="00965D84"/>
    <w:rsid w:val="0096782C"/>
    <w:rsid w:val="0097117A"/>
    <w:rsid w:val="0097394D"/>
    <w:rsid w:val="00973D0A"/>
    <w:rsid w:val="00974275"/>
    <w:rsid w:val="0098317A"/>
    <w:rsid w:val="00983A3B"/>
    <w:rsid w:val="00987405"/>
    <w:rsid w:val="0098746D"/>
    <w:rsid w:val="0099046B"/>
    <w:rsid w:val="009911CC"/>
    <w:rsid w:val="0099497B"/>
    <w:rsid w:val="009A1CF9"/>
    <w:rsid w:val="009A3CA1"/>
    <w:rsid w:val="009A4C1E"/>
    <w:rsid w:val="009A66CA"/>
    <w:rsid w:val="009A75AC"/>
    <w:rsid w:val="009B315E"/>
    <w:rsid w:val="009B562D"/>
    <w:rsid w:val="009C1E4B"/>
    <w:rsid w:val="009C2E35"/>
    <w:rsid w:val="009C450B"/>
    <w:rsid w:val="009D265A"/>
    <w:rsid w:val="009D3797"/>
    <w:rsid w:val="009D6F42"/>
    <w:rsid w:val="009D768F"/>
    <w:rsid w:val="009E1A98"/>
    <w:rsid w:val="009E1AD2"/>
    <w:rsid w:val="009E1B7B"/>
    <w:rsid w:val="009E3032"/>
    <w:rsid w:val="009E3C8A"/>
    <w:rsid w:val="009F50F3"/>
    <w:rsid w:val="009F6E2B"/>
    <w:rsid w:val="00A060E1"/>
    <w:rsid w:val="00A069BB"/>
    <w:rsid w:val="00A14091"/>
    <w:rsid w:val="00A20613"/>
    <w:rsid w:val="00A20C2D"/>
    <w:rsid w:val="00A20CAB"/>
    <w:rsid w:val="00A21BAA"/>
    <w:rsid w:val="00A262BF"/>
    <w:rsid w:val="00A270F3"/>
    <w:rsid w:val="00A27E23"/>
    <w:rsid w:val="00A31BCB"/>
    <w:rsid w:val="00A350E6"/>
    <w:rsid w:val="00A35C84"/>
    <w:rsid w:val="00A40D44"/>
    <w:rsid w:val="00A425EF"/>
    <w:rsid w:val="00A42B1F"/>
    <w:rsid w:val="00A431FC"/>
    <w:rsid w:val="00A542C1"/>
    <w:rsid w:val="00A54EEF"/>
    <w:rsid w:val="00A5520A"/>
    <w:rsid w:val="00A64ACB"/>
    <w:rsid w:val="00A66061"/>
    <w:rsid w:val="00A67D7E"/>
    <w:rsid w:val="00A715EE"/>
    <w:rsid w:val="00A717C0"/>
    <w:rsid w:val="00A71F79"/>
    <w:rsid w:val="00A7361B"/>
    <w:rsid w:val="00A74CE5"/>
    <w:rsid w:val="00A760AB"/>
    <w:rsid w:val="00A80046"/>
    <w:rsid w:val="00A80C19"/>
    <w:rsid w:val="00A80D2E"/>
    <w:rsid w:val="00A82286"/>
    <w:rsid w:val="00A83227"/>
    <w:rsid w:val="00A90ADE"/>
    <w:rsid w:val="00A92CD1"/>
    <w:rsid w:val="00A934E5"/>
    <w:rsid w:val="00A959F9"/>
    <w:rsid w:val="00A96AF4"/>
    <w:rsid w:val="00AA1991"/>
    <w:rsid w:val="00AA241D"/>
    <w:rsid w:val="00AA531A"/>
    <w:rsid w:val="00AA7008"/>
    <w:rsid w:val="00AB1830"/>
    <w:rsid w:val="00AB2B8D"/>
    <w:rsid w:val="00AB3436"/>
    <w:rsid w:val="00AB5BA8"/>
    <w:rsid w:val="00AB5D3B"/>
    <w:rsid w:val="00AB6779"/>
    <w:rsid w:val="00AB6FC3"/>
    <w:rsid w:val="00AC77F9"/>
    <w:rsid w:val="00AC7C58"/>
    <w:rsid w:val="00AD11F9"/>
    <w:rsid w:val="00AD189F"/>
    <w:rsid w:val="00AD1ACD"/>
    <w:rsid w:val="00AD3EF4"/>
    <w:rsid w:val="00AD4A03"/>
    <w:rsid w:val="00AD608F"/>
    <w:rsid w:val="00AD7836"/>
    <w:rsid w:val="00AE08C0"/>
    <w:rsid w:val="00AE1489"/>
    <w:rsid w:val="00AE2712"/>
    <w:rsid w:val="00AE32AC"/>
    <w:rsid w:val="00AE3A3F"/>
    <w:rsid w:val="00AE46D9"/>
    <w:rsid w:val="00AF3489"/>
    <w:rsid w:val="00AF5761"/>
    <w:rsid w:val="00AF773D"/>
    <w:rsid w:val="00B00AB3"/>
    <w:rsid w:val="00B04DAB"/>
    <w:rsid w:val="00B06A8D"/>
    <w:rsid w:val="00B072B2"/>
    <w:rsid w:val="00B0756F"/>
    <w:rsid w:val="00B11216"/>
    <w:rsid w:val="00B12FB0"/>
    <w:rsid w:val="00B1434E"/>
    <w:rsid w:val="00B15D52"/>
    <w:rsid w:val="00B20138"/>
    <w:rsid w:val="00B219EF"/>
    <w:rsid w:val="00B21A9F"/>
    <w:rsid w:val="00B222A2"/>
    <w:rsid w:val="00B22F5A"/>
    <w:rsid w:val="00B24314"/>
    <w:rsid w:val="00B27479"/>
    <w:rsid w:val="00B31AF5"/>
    <w:rsid w:val="00B4041A"/>
    <w:rsid w:val="00B41B0D"/>
    <w:rsid w:val="00B41DAF"/>
    <w:rsid w:val="00B4598F"/>
    <w:rsid w:val="00B546EF"/>
    <w:rsid w:val="00B603FA"/>
    <w:rsid w:val="00B62202"/>
    <w:rsid w:val="00B706BF"/>
    <w:rsid w:val="00B72194"/>
    <w:rsid w:val="00B7267F"/>
    <w:rsid w:val="00B74C83"/>
    <w:rsid w:val="00B777F6"/>
    <w:rsid w:val="00B77D13"/>
    <w:rsid w:val="00B77DA0"/>
    <w:rsid w:val="00B812D6"/>
    <w:rsid w:val="00B849B3"/>
    <w:rsid w:val="00B85067"/>
    <w:rsid w:val="00B85ADA"/>
    <w:rsid w:val="00B867FB"/>
    <w:rsid w:val="00B868AA"/>
    <w:rsid w:val="00B90453"/>
    <w:rsid w:val="00B90D35"/>
    <w:rsid w:val="00B91E9D"/>
    <w:rsid w:val="00BA0A33"/>
    <w:rsid w:val="00BA22E9"/>
    <w:rsid w:val="00BA4A0B"/>
    <w:rsid w:val="00BB2908"/>
    <w:rsid w:val="00BB36DE"/>
    <w:rsid w:val="00BB4311"/>
    <w:rsid w:val="00BB574B"/>
    <w:rsid w:val="00BB613C"/>
    <w:rsid w:val="00BB6BC9"/>
    <w:rsid w:val="00BC00D4"/>
    <w:rsid w:val="00BC071D"/>
    <w:rsid w:val="00BC23D2"/>
    <w:rsid w:val="00BC2872"/>
    <w:rsid w:val="00BC2F8D"/>
    <w:rsid w:val="00BC3A68"/>
    <w:rsid w:val="00BC5991"/>
    <w:rsid w:val="00BC6960"/>
    <w:rsid w:val="00BD0E3E"/>
    <w:rsid w:val="00BD3651"/>
    <w:rsid w:val="00BE0DCD"/>
    <w:rsid w:val="00BE3BFA"/>
    <w:rsid w:val="00BE48CE"/>
    <w:rsid w:val="00BF05A0"/>
    <w:rsid w:val="00BF0B5A"/>
    <w:rsid w:val="00BF2428"/>
    <w:rsid w:val="00BF3D4A"/>
    <w:rsid w:val="00BF43B6"/>
    <w:rsid w:val="00BF5F5B"/>
    <w:rsid w:val="00C03206"/>
    <w:rsid w:val="00C0413B"/>
    <w:rsid w:val="00C077BF"/>
    <w:rsid w:val="00C108AB"/>
    <w:rsid w:val="00C16EF6"/>
    <w:rsid w:val="00C2140B"/>
    <w:rsid w:val="00C24D89"/>
    <w:rsid w:val="00C261AC"/>
    <w:rsid w:val="00C308DF"/>
    <w:rsid w:val="00C3210B"/>
    <w:rsid w:val="00C35688"/>
    <w:rsid w:val="00C40234"/>
    <w:rsid w:val="00C42067"/>
    <w:rsid w:val="00C429B7"/>
    <w:rsid w:val="00C447D2"/>
    <w:rsid w:val="00C45A1E"/>
    <w:rsid w:val="00C471B5"/>
    <w:rsid w:val="00C473B5"/>
    <w:rsid w:val="00C47D77"/>
    <w:rsid w:val="00C50557"/>
    <w:rsid w:val="00C51BC8"/>
    <w:rsid w:val="00C533D5"/>
    <w:rsid w:val="00C56A2D"/>
    <w:rsid w:val="00C6194C"/>
    <w:rsid w:val="00C65357"/>
    <w:rsid w:val="00C735FB"/>
    <w:rsid w:val="00C73CFE"/>
    <w:rsid w:val="00C74A79"/>
    <w:rsid w:val="00C77087"/>
    <w:rsid w:val="00C806C0"/>
    <w:rsid w:val="00C80A5B"/>
    <w:rsid w:val="00C82048"/>
    <w:rsid w:val="00C8304F"/>
    <w:rsid w:val="00C85B2A"/>
    <w:rsid w:val="00C85C4A"/>
    <w:rsid w:val="00C8615F"/>
    <w:rsid w:val="00C908AA"/>
    <w:rsid w:val="00C9107D"/>
    <w:rsid w:val="00C91A89"/>
    <w:rsid w:val="00C924B2"/>
    <w:rsid w:val="00C925EE"/>
    <w:rsid w:val="00C93B69"/>
    <w:rsid w:val="00CA1300"/>
    <w:rsid w:val="00CA1DBE"/>
    <w:rsid w:val="00CA5492"/>
    <w:rsid w:val="00CA6EC9"/>
    <w:rsid w:val="00CA7683"/>
    <w:rsid w:val="00CA78B3"/>
    <w:rsid w:val="00CB45E9"/>
    <w:rsid w:val="00CB7E83"/>
    <w:rsid w:val="00CC0F8B"/>
    <w:rsid w:val="00CC11AD"/>
    <w:rsid w:val="00CC1400"/>
    <w:rsid w:val="00CC4059"/>
    <w:rsid w:val="00CD2FB2"/>
    <w:rsid w:val="00CD75F2"/>
    <w:rsid w:val="00CE1094"/>
    <w:rsid w:val="00CE1E43"/>
    <w:rsid w:val="00CE2BC5"/>
    <w:rsid w:val="00CE3F36"/>
    <w:rsid w:val="00CE4906"/>
    <w:rsid w:val="00CE62B6"/>
    <w:rsid w:val="00CF29D8"/>
    <w:rsid w:val="00CF301C"/>
    <w:rsid w:val="00CF44D4"/>
    <w:rsid w:val="00CF4842"/>
    <w:rsid w:val="00CF699C"/>
    <w:rsid w:val="00D00F74"/>
    <w:rsid w:val="00D01700"/>
    <w:rsid w:val="00D0529D"/>
    <w:rsid w:val="00D059A9"/>
    <w:rsid w:val="00D103F7"/>
    <w:rsid w:val="00D133D9"/>
    <w:rsid w:val="00D24955"/>
    <w:rsid w:val="00D262F0"/>
    <w:rsid w:val="00D30865"/>
    <w:rsid w:val="00D31CC0"/>
    <w:rsid w:val="00D3557A"/>
    <w:rsid w:val="00D379FC"/>
    <w:rsid w:val="00D40846"/>
    <w:rsid w:val="00D4235C"/>
    <w:rsid w:val="00D43550"/>
    <w:rsid w:val="00D439B6"/>
    <w:rsid w:val="00D44908"/>
    <w:rsid w:val="00D46240"/>
    <w:rsid w:val="00D5052E"/>
    <w:rsid w:val="00D50F22"/>
    <w:rsid w:val="00D51BF2"/>
    <w:rsid w:val="00D51DEE"/>
    <w:rsid w:val="00D55E7F"/>
    <w:rsid w:val="00D55FA1"/>
    <w:rsid w:val="00D57E4B"/>
    <w:rsid w:val="00D60CE4"/>
    <w:rsid w:val="00D61BE8"/>
    <w:rsid w:val="00D6237A"/>
    <w:rsid w:val="00D625CD"/>
    <w:rsid w:val="00D625FC"/>
    <w:rsid w:val="00D64AFB"/>
    <w:rsid w:val="00D650EC"/>
    <w:rsid w:val="00D66970"/>
    <w:rsid w:val="00D6699A"/>
    <w:rsid w:val="00D672DD"/>
    <w:rsid w:val="00D70B2A"/>
    <w:rsid w:val="00D7622A"/>
    <w:rsid w:val="00D845CB"/>
    <w:rsid w:val="00D84E43"/>
    <w:rsid w:val="00D91909"/>
    <w:rsid w:val="00D92A0E"/>
    <w:rsid w:val="00D9397C"/>
    <w:rsid w:val="00D93FEE"/>
    <w:rsid w:val="00D94479"/>
    <w:rsid w:val="00D9459D"/>
    <w:rsid w:val="00D95D2C"/>
    <w:rsid w:val="00D96E0A"/>
    <w:rsid w:val="00DA0735"/>
    <w:rsid w:val="00DA1C90"/>
    <w:rsid w:val="00DA3249"/>
    <w:rsid w:val="00DA477B"/>
    <w:rsid w:val="00DA4F70"/>
    <w:rsid w:val="00DA6972"/>
    <w:rsid w:val="00DB111A"/>
    <w:rsid w:val="00DB4B44"/>
    <w:rsid w:val="00DB6324"/>
    <w:rsid w:val="00DB65BC"/>
    <w:rsid w:val="00DC0207"/>
    <w:rsid w:val="00DC55EF"/>
    <w:rsid w:val="00DD0C64"/>
    <w:rsid w:val="00DD79B7"/>
    <w:rsid w:val="00DE04A2"/>
    <w:rsid w:val="00DE1AC5"/>
    <w:rsid w:val="00DE1B41"/>
    <w:rsid w:val="00DE478D"/>
    <w:rsid w:val="00DE66F1"/>
    <w:rsid w:val="00DE6CA5"/>
    <w:rsid w:val="00DF1C3C"/>
    <w:rsid w:val="00DF1D35"/>
    <w:rsid w:val="00DF1F1B"/>
    <w:rsid w:val="00DF2028"/>
    <w:rsid w:val="00E00F9B"/>
    <w:rsid w:val="00E015E8"/>
    <w:rsid w:val="00E02B5B"/>
    <w:rsid w:val="00E04DA9"/>
    <w:rsid w:val="00E0502B"/>
    <w:rsid w:val="00E10C7C"/>
    <w:rsid w:val="00E1428E"/>
    <w:rsid w:val="00E1436D"/>
    <w:rsid w:val="00E1440C"/>
    <w:rsid w:val="00E158D5"/>
    <w:rsid w:val="00E20E4F"/>
    <w:rsid w:val="00E20F3F"/>
    <w:rsid w:val="00E21D1C"/>
    <w:rsid w:val="00E23FEC"/>
    <w:rsid w:val="00E2702F"/>
    <w:rsid w:val="00E30F80"/>
    <w:rsid w:val="00E310B3"/>
    <w:rsid w:val="00E33F21"/>
    <w:rsid w:val="00E4019C"/>
    <w:rsid w:val="00E42802"/>
    <w:rsid w:val="00E43862"/>
    <w:rsid w:val="00E44A2E"/>
    <w:rsid w:val="00E45DDD"/>
    <w:rsid w:val="00E51A61"/>
    <w:rsid w:val="00E51EE0"/>
    <w:rsid w:val="00E53955"/>
    <w:rsid w:val="00E55C71"/>
    <w:rsid w:val="00E600BB"/>
    <w:rsid w:val="00E6071F"/>
    <w:rsid w:val="00E62178"/>
    <w:rsid w:val="00E62185"/>
    <w:rsid w:val="00E6302A"/>
    <w:rsid w:val="00E63D58"/>
    <w:rsid w:val="00E65DC7"/>
    <w:rsid w:val="00E678DD"/>
    <w:rsid w:val="00E70D0A"/>
    <w:rsid w:val="00E76654"/>
    <w:rsid w:val="00E80C8C"/>
    <w:rsid w:val="00E82282"/>
    <w:rsid w:val="00E86BAC"/>
    <w:rsid w:val="00E92276"/>
    <w:rsid w:val="00E93383"/>
    <w:rsid w:val="00E96DEF"/>
    <w:rsid w:val="00E96EF5"/>
    <w:rsid w:val="00E97E3C"/>
    <w:rsid w:val="00EA1E37"/>
    <w:rsid w:val="00EA305F"/>
    <w:rsid w:val="00EA5A9D"/>
    <w:rsid w:val="00EC1345"/>
    <w:rsid w:val="00EC3AF2"/>
    <w:rsid w:val="00EC3B20"/>
    <w:rsid w:val="00EC4E18"/>
    <w:rsid w:val="00EC5AE2"/>
    <w:rsid w:val="00ED2931"/>
    <w:rsid w:val="00ED3D63"/>
    <w:rsid w:val="00ED5304"/>
    <w:rsid w:val="00ED63FC"/>
    <w:rsid w:val="00EE377A"/>
    <w:rsid w:val="00EE4ECC"/>
    <w:rsid w:val="00EE7413"/>
    <w:rsid w:val="00EF17D7"/>
    <w:rsid w:val="00EF39F3"/>
    <w:rsid w:val="00EF4303"/>
    <w:rsid w:val="00EF4324"/>
    <w:rsid w:val="00EF57C3"/>
    <w:rsid w:val="00EF581C"/>
    <w:rsid w:val="00EF6C06"/>
    <w:rsid w:val="00F1290C"/>
    <w:rsid w:val="00F136DB"/>
    <w:rsid w:val="00F14741"/>
    <w:rsid w:val="00F147C0"/>
    <w:rsid w:val="00F14AF4"/>
    <w:rsid w:val="00F16C26"/>
    <w:rsid w:val="00F16D66"/>
    <w:rsid w:val="00F174C8"/>
    <w:rsid w:val="00F22F43"/>
    <w:rsid w:val="00F25E41"/>
    <w:rsid w:val="00F26554"/>
    <w:rsid w:val="00F273C2"/>
    <w:rsid w:val="00F30A0C"/>
    <w:rsid w:val="00F3175F"/>
    <w:rsid w:val="00F31E55"/>
    <w:rsid w:val="00F3487B"/>
    <w:rsid w:val="00F40478"/>
    <w:rsid w:val="00F40F32"/>
    <w:rsid w:val="00F41147"/>
    <w:rsid w:val="00F42A36"/>
    <w:rsid w:val="00F43DF2"/>
    <w:rsid w:val="00F51966"/>
    <w:rsid w:val="00F55278"/>
    <w:rsid w:val="00F55E55"/>
    <w:rsid w:val="00F60F6C"/>
    <w:rsid w:val="00F665CB"/>
    <w:rsid w:val="00F70FCE"/>
    <w:rsid w:val="00F73171"/>
    <w:rsid w:val="00F74E58"/>
    <w:rsid w:val="00F77A30"/>
    <w:rsid w:val="00F8243A"/>
    <w:rsid w:val="00F83565"/>
    <w:rsid w:val="00F84EF2"/>
    <w:rsid w:val="00F85067"/>
    <w:rsid w:val="00F867CD"/>
    <w:rsid w:val="00F87D78"/>
    <w:rsid w:val="00F91631"/>
    <w:rsid w:val="00F91C98"/>
    <w:rsid w:val="00F95CE9"/>
    <w:rsid w:val="00F960F6"/>
    <w:rsid w:val="00F9669D"/>
    <w:rsid w:val="00FA00E5"/>
    <w:rsid w:val="00FA0B19"/>
    <w:rsid w:val="00FA531A"/>
    <w:rsid w:val="00FB0FF0"/>
    <w:rsid w:val="00FB7695"/>
    <w:rsid w:val="00FC66CC"/>
    <w:rsid w:val="00FC6CDC"/>
    <w:rsid w:val="00FC799A"/>
    <w:rsid w:val="00FD219D"/>
    <w:rsid w:val="00FD25AB"/>
    <w:rsid w:val="00FD31CB"/>
    <w:rsid w:val="00FD373C"/>
    <w:rsid w:val="00FD625B"/>
    <w:rsid w:val="00FD6E8E"/>
    <w:rsid w:val="00FD77AD"/>
    <w:rsid w:val="00FE2A78"/>
    <w:rsid w:val="00FE5A2A"/>
    <w:rsid w:val="00FE7618"/>
    <w:rsid w:val="00FF00CC"/>
    <w:rsid w:val="00FF145D"/>
    <w:rsid w:val="00FF1BF9"/>
    <w:rsid w:val="00FF1ECE"/>
    <w:rsid w:val="00FF35E0"/>
    <w:rsid w:val="00FF3799"/>
    <w:rsid w:val="011B2034"/>
    <w:rsid w:val="015D27ED"/>
    <w:rsid w:val="01B32747"/>
    <w:rsid w:val="01CB0A68"/>
    <w:rsid w:val="02235D4B"/>
    <w:rsid w:val="02A9530D"/>
    <w:rsid w:val="02B504F0"/>
    <w:rsid w:val="02BA5CD8"/>
    <w:rsid w:val="02D07EDB"/>
    <w:rsid w:val="02D74C0A"/>
    <w:rsid w:val="03090D52"/>
    <w:rsid w:val="036E01D1"/>
    <w:rsid w:val="03966CB0"/>
    <w:rsid w:val="03EC4EC0"/>
    <w:rsid w:val="03FB17CE"/>
    <w:rsid w:val="040231CA"/>
    <w:rsid w:val="04525D18"/>
    <w:rsid w:val="04A06264"/>
    <w:rsid w:val="04C878DF"/>
    <w:rsid w:val="04F2229D"/>
    <w:rsid w:val="05220A6D"/>
    <w:rsid w:val="05257147"/>
    <w:rsid w:val="055102E3"/>
    <w:rsid w:val="057C013D"/>
    <w:rsid w:val="05A40179"/>
    <w:rsid w:val="05F753DF"/>
    <w:rsid w:val="063B285C"/>
    <w:rsid w:val="06607C1E"/>
    <w:rsid w:val="06655ACF"/>
    <w:rsid w:val="06801C3B"/>
    <w:rsid w:val="06C02115"/>
    <w:rsid w:val="06DD0D03"/>
    <w:rsid w:val="070627CF"/>
    <w:rsid w:val="074F7AC8"/>
    <w:rsid w:val="075539B3"/>
    <w:rsid w:val="07DE75C7"/>
    <w:rsid w:val="08104660"/>
    <w:rsid w:val="08282E7E"/>
    <w:rsid w:val="08A6379D"/>
    <w:rsid w:val="08C8268B"/>
    <w:rsid w:val="09025D38"/>
    <w:rsid w:val="091F056B"/>
    <w:rsid w:val="093942E3"/>
    <w:rsid w:val="094177F3"/>
    <w:rsid w:val="09F027B0"/>
    <w:rsid w:val="0A255E94"/>
    <w:rsid w:val="0A2E43EA"/>
    <w:rsid w:val="0A3054F8"/>
    <w:rsid w:val="0A921B67"/>
    <w:rsid w:val="0A9B6200"/>
    <w:rsid w:val="0AA411C6"/>
    <w:rsid w:val="0AAA228E"/>
    <w:rsid w:val="0AE77571"/>
    <w:rsid w:val="0B0E19AF"/>
    <w:rsid w:val="0B320689"/>
    <w:rsid w:val="0B5F4EA2"/>
    <w:rsid w:val="0B827D42"/>
    <w:rsid w:val="0B8C3F15"/>
    <w:rsid w:val="0C076CEB"/>
    <w:rsid w:val="0C1D4DBD"/>
    <w:rsid w:val="0C6E4086"/>
    <w:rsid w:val="0C6F0993"/>
    <w:rsid w:val="0C70451D"/>
    <w:rsid w:val="0CA21AB6"/>
    <w:rsid w:val="0CD061B9"/>
    <w:rsid w:val="0CF60909"/>
    <w:rsid w:val="0D3B0C0C"/>
    <w:rsid w:val="0DA5764E"/>
    <w:rsid w:val="0DAF0E0E"/>
    <w:rsid w:val="0DB869A7"/>
    <w:rsid w:val="0DBC6100"/>
    <w:rsid w:val="0DE12993"/>
    <w:rsid w:val="0E8A5CA0"/>
    <w:rsid w:val="0E8D2E6D"/>
    <w:rsid w:val="0E906E3F"/>
    <w:rsid w:val="0E941EFA"/>
    <w:rsid w:val="0EA84CE0"/>
    <w:rsid w:val="0EC84467"/>
    <w:rsid w:val="0ECD17B5"/>
    <w:rsid w:val="0EFF4C3C"/>
    <w:rsid w:val="0F1B2D5E"/>
    <w:rsid w:val="0FA05F33"/>
    <w:rsid w:val="0FA966AA"/>
    <w:rsid w:val="10110F0F"/>
    <w:rsid w:val="10111E7B"/>
    <w:rsid w:val="10760D0E"/>
    <w:rsid w:val="10D83F9D"/>
    <w:rsid w:val="117763D9"/>
    <w:rsid w:val="11792D22"/>
    <w:rsid w:val="11B941A7"/>
    <w:rsid w:val="11D10A29"/>
    <w:rsid w:val="11FE4BC3"/>
    <w:rsid w:val="122237BE"/>
    <w:rsid w:val="122A059B"/>
    <w:rsid w:val="12327BF7"/>
    <w:rsid w:val="12370739"/>
    <w:rsid w:val="12744C5F"/>
    <w:rsid w:val="12833A36"/>
    <w:rsid w:val="12947F1B"/>
    <w:rsid w:val="13074CE7"/>
    <w:rsid w:val="13AC063F"/>
    <w:rsid w:val="13B04523"/>
    <w:rsid w:val="145022C4"/>
    <w:rsid w:val="14716219"/>
    <w:rsid w:val="148A49CF"/>
    <w:rsid w:val="154340F3"/>
    <w:rsid w:val="1554390E"/>
    <w:rsid w:val="158439BA"/>
    <w:rsid w:val="15D47BC6"/>
    <w:rsid w:val="15FFDBAA"/>
    <w:rsid w:val="16137113"/>
    <w:rsid w:val="163E3F3C"/>
    <w:rsid w:val="167E705C"/>
    <w:rsid w:val="16A917FD"/>
    <w:rsid w:val="16B024EA"/>
    <w:rsid w:val="16E6084A"/>
    <w:rsid w:val="17056C2C"/>
    <w:rsid w:val="175536DB"/>
    <w:rsid w:val="176E4E32"/>
    <w:rsid w:val="17B23810"/>
    <w:rsid w:val="18154062"/>
    <w:rsid w:val="18435E8C"/>
    <w:rsid w:val="18FC3815"/>
    <w:rsid w:val="192759BC"/>
    <w:rsid w:val="192D0439"/>
    <w:rsid w:val="195A44B2"/>
    <w:rsid w:val="196758DD"/>
    <w:rsid w:val="19E20421"/>
    <w:rsid w:val="1ACE07C6"/>
    <w:rsid w:val="1ACF1B5A"/>
    <w:rsid w:val="1ADD278B"/>
    <w:rsid w:val="1B717A21"/>
    <w:rsid w:val="1C59F228"/>
    <w:rsid w:val="1CB2478D"/>
    <w:rsid w:val="1CFF5CAA"/>
    <w:rsid w:val="1D0E6D8B"/>
    <w:rsid w:val="1D29540E"/>
    <w:rsid w:val="1D426EB7"/>
    <w:rsid w:val="1D4C6F21"/>
    <w:rsid w:val="1D5507AB"/>
    <w:rsid w:val="1DCB533A"/>
    <w:rsid w:val="1DFD20DC"/>
    <w:rsid w:val="1E0C0D2C"/>
    <w:rsid w:val="1E0C427E"/>
    <w:rsid w:val="1E3D5890"/>
    <w:rsid w:val="1ECB4E14"/>
    <w:rsid w:val="1ED470A1"/>
    <w:rsid w:val="1F636F01"/>
    <w:rsid w:val="1F745FEB"/>
    <w:rsid w:val="1F753FA8"/>
    <w:rsid w:val="1F7E5EAC"/>
    <w:rsid w:val="1F904ED9"/>
    <w:rsid w:val="1FB067C3"/>
    <w:rsid w:val="1FBC207B"/>
    <w:rsid w:val="1FE34C5B"/>
    <w:rsid w:val="20631CC6"/>
    <w:rsid w:val="209D2D04"/>
    <w:rsid w:val="20B617CC"/>
    <w:rsid w:val="21126AA7"/>
    <w:rsid w:val="21352A05"/>
    <w:rsid w:val="21362392"/>
    <w:rsid w:val="21485B53"/>
    <w:rsid w:val="21554A60"/>
    <w:rsid w:val="21BD6366"/>
    <w:rsid w:val="21E26F4D"/>
    <w:rsid w:val="21EE7C3C"/>
    <w:rsid w:val="222C21FA"/>
    <w:rsid w:val="22335DAB"/>
    <w:rsid w:val="223D37CD"/>
    <w:rsid w:val="22C85FCC"/>
    <w:rsid w:val="23085188"/>
    <w:rsid w:val="235F5402"/>
    <w:rsid w:val="237D094C"/>
    <w:rsid w:val="238B5266"/>
    <w:rsid w:val="23A77259"/>
    <w:rsid w:val="23B31760"/>
    <w:rsid w:val="23C022E6"/>
    <w:rsid w:val="23EE51DF"/>
    <w:rsid w:val="24353D32"/>
    <w:rsid w:val="24682021"/>
    <w:rsid w:val="24A423F1"/>
    <w:rsid w:val="25261B9D"/>
    <w:rsid w:val="25645C38"/>
    <w:rsid w:val="25685E0C"/>
    <w:rsid w:val="256B5D36"/>
    <w:rsid w:val="262A5104"/>
    <w:rsid w:val="26887043"/>
    <w:rsid w:val="26AE6E0B"/>
    <w:rsid w:val="26B46299"/>
    <w:rsid w:val="26BB2CC6"/>
    <w:rsid w:val="26BD683B"/>
    <w:rsid w:val="26DD5C14"/>
    <w:rsid w:val="27C57964"/>
    <w:rsid w:val="281447E1"/>
    <w:rsid w:val="28636321"/>
    <w:rsid w:val="28BC1741"/>
    <w:rsid w:val="28EB7539"/>
    <w:rsid w:val="290D0617"/>
    <w:rsid w:val="290F1F94"/>
    <w:rsid w:val="29314441"/>
    <w:rsid w:val="293720E9"/>
    <w:rsid w:val="298E7A8A"/>
    <w:rsid w:val="29BC55B6"/>
    <w:rsid w:val="29E65FA5"/>
    <w:rsid w:val="29FC1D7D"/>
    <w:rsid w:val="2A194DCB"/>
    <w:rsid w:val="2A2C179B"/>
    <w:rsid w:val="2A4318BD"/>
    <w:rsid w:val="2A7D223B"/>
    <w:rsid w:val="2B383800"/>
    <w:rsid w:val="2B6F4621"/>
    <w:rsid w:val="2BAF97BD"/>
    <w:rsid w:val="2C186673"/>
    <w:rsid w:val="2C6D4788"/>
    <w:rsid w:val="2C965D4A"/>
    <w:rsid w:val="2CA018D0"/>
    <w:rsid w:val="2CAB39C2"/>
    <w:rsid w:val="2CD50537"/>
    <w:rsid w:val="2D2D6BBF"/>
    <w:rsid w:val="2D4C521B"/>
    <w:rsid w:val="2E227A48"/>
    <w:rsid w:val="2EF17AA0"/>
    <w:rsid w:val="2F033394"/>
    <w:rsid w:val="2F05487F"/>
    <w:rsid w:val="2F18448C"/>
    <w:rsid w:val="2F566606"/>
    <w:rsid w:val="2F866987"/>
    <w:rsid w:val="2FA741ED"/>
    <w:rsid w:val="2FD4276E"/>
    <w:rsid w:val="2FFD0F33"/>
    <w:rsid w:val="30440E12"/>
    <w:rsid w:val="30A27BA7"/>
    <w:rsid w:val="30B714D9"/>
    <w:rsid w:val="30DF329B"/>
    <w:rsid w:val="30F45ABE"/>
    <w:rsid w:val="311B1676"/>
    <w:rsid w:val="312A1E9E"/>
    <w:rsid w:val="313B7EF6"/>
    <w:rsid w:val="315733F0"/>
    <w:rsid w:val="31CA129C"/>
    <w:rsid w:val="31EE2C5D"/>
    <w:rsid w:val="31F64247"/>
    <w:rsid w:val="321E3CBF"/>
    <w:rsid w:val="326528CD"/>
    <w:rsid w:val="328827F7"/>
    <w:rsid w:val="32C8B79E"/>
    <w:rsid w:val="32D1055D"/>
    <w:rsid w:val="32E14A30"/>
    <w:rsid w:val="33150E59"/>
    <w:rsid w:val="331B795A"/>
    <w:rsid w:val="332069DF"/>
    <w:rsid w:val="332A56DB"/>
    <w:rsid w:val="338566CC"/>
    <w:rsid w:val="33A35F48"/>
    <w:rsid w:val="343C7E7E"/>
    <w:rsid w:val="349763DE"/>
    <w:rsid w:val="353C0B62"/>
    <w:rsid w:val="35735E93"/>
    <w:rsid w:val="357B691D"/>
    <w:rsid w:val="358856F0"/>
    <w:rsid w:val="35D53B03"/>
    <w:rsid w:val="369E4511"/>
    <w:rsid w:val="37317F60"/>
    <w:rsid w:val="377DA743"/>
    <w:rsid w:val="377F2256"/>
    <w:rsid w:val="378D7431"/>
    <w:rsid w:val="37975E8C"/>
    <w:rsid w:val="37A10C5D"/>
    <w:rsid w:val="37C422CF"/>
    <w:rsid w:val="37EA445F"/>
    <w:rsid w:val="37EE3CC3"/>
    <w:rsid w:val="37EF51D2"/>
    <w:rsid w:val="38731403"/>
    <w:rsid w:val="388F20A8"/>
    <w:rsid w:val="3917220E"/>
    <w:rsid w:val="392B11E4"/>
    <w:rsid w:val="39952377"/>
    <w:rsid w:val="39EC2E14"/>
    <w:rsid w:val="3A8F03DF"/>
    <w:rsid w:val="3A9030C9"/>
    <w:rsid w:val="3A933FEE"/>
    <w:rsid w:val="3ACB3072"/>
    <w:rsid w:val="3ACB49FC"/>
    <w:rsid w:val="3AF95CF0"/>
    <w:rsid w:val="3BB26668"/>
    <w:rsid w:val="3BF25884"/>
    <w:rsid w:val="3C143538"/>
    <w:rsid w:val="3C683D03"/>
    <w:rsid w:val="3D2D5AD6"/>
    <w:rsid w:val="3D3117D1"/>
    <w:rsid w:val="3D43590F"/>
    <w:rsid w:val="3D5F69AE"/>
    <w:rsid w:val="3D6D1B52"/>
    <w:rsid w:val="3D7F638F"/>
    <w:rsid w:val="3DAE7080"/>
    <w:rsid w:val="3DBE1710"/>
    <w:rsid w:val="3DC836A4"/>
    <w:rsid w:val="3DDC7D08"/>
    <w:rsid w:val="3DDE0956"/>
    <w:rsid w:val="3DF81DFB"/>
    <w:rsid w:val="3E0072C0"/>
    <w:rsid w:val="3E5F5E47"/>
    <w:rsid w:val="3E8F0FD8"/>
    <w:rsid w:val="3F50592B"/>
    <w:rsid w:val="3F7F748A"/>
    <w:rsid w:val="3F8203BB"/>
    <w:rsid w:val="3F8541E2"/>
    <w:rsid w:val="3FCD337F"/>
    <w:rsid w:val="3FDF0719"/>
    <w:rsid w:val="3FFB2AE5"/>
    <w:rsid w:val="3FFD83F9"/>
    <w:rsid w:val="403E7D24"/>
    <w:rsid w:val="4073743D"/>
    <w:rsid w:val="407C2C83"/>
    <w:rsid w:val="40824F31"/>
    <w:rsid w:val="40975F58"/>
    <w:rsid w:val="40B06FA7"/>
    <w:rsid w:val="41373BF1"/>
    <w:rsid w:val="414C4C40"/>
    <w:rsid w:val="41663691"/>
    <w:rsid w:val="42870BE8"/>
    <w:rsid w:val="429664C3"/>
    <w:rsid w:val="42C64E68"/>
    <w:rsid w:val="431325EF"/>
    <w:rsid w:val="43612BF0"/>
    <w:rsid w:val="44003D1E"/>
    <w:rsid w:val="44123662"/>
    <w:rsid w:val="441D6688"/>
    <w:rsid w:val="449855CF"/>
    <w:rsid w:val="44CA436F"/>
    <w:rsid w:val="44D40C6B"/>
    <w:rsid w:val="45050AF4"/>
    <w:rsid w:val="451E69A9"/>
    <w:rsid w:val="45294C39"/>
    <w:rsid w:val="45C3443E"/>
    <w:rsid w:val="45CE7920"/>
    <w:rsid w:val="45E96527"/>
    <w:rsid w:val="45FB663C"/>
    <w:rsid w:val="46557EE7"/>
    <w:rsid w:val="46AB462D"/>
    <w:rsid w:val="46B34A2A"/>
    <w:rsid w:val="47410C8B"/>
    <w:rsid w:val="47531D5D"/>
    <w:rsid w:val="48D71CA7"/>
    <w:rsid w:val="49B72F20"/>
    <w:rsid w:val="49C8643C"/>
    <w:rsid w:val="49F162B2"/>
    <w:rsid w:val="4A0E24A0"/>
    <w:rsid w:val="4A402A97"/>
    <w:rsid w:val="4A8E32C0"/>
    <w:rsid w:val="4AD54729"/>
    <w:rsid w:val="4B155B48"/>
    <w:rsid w:val="4B293C11"/>
    <w:rsid w:val="4B3DD732"/>
    <w:rsid w:val="4BBA627D"/>
    <w:rsid w:val="4BF75F20"/>
    <w:rsid w:val="4C2203AC"/>
    <w:rsid w:val="4C6B2F60"/>
    <w:rsid w:val="4C992DCE"/>
    <w:rsid w:val="4CBF560C"/>
    <w:rsid w:val="4D31304E"/>
    <w:rsid w:val="4D831388"/>
    <w:rsid w:val="4DD755ED"/>
    <w:rsid w:val="4E371071"/>
    <w:rsid w:val="4E7E5066"/>
    <w:rsid w:val="4EAC0C0C"/>
    <w:rsid w:val="4EE678F1"/>
    <w:rsid w:val="4F478503"/>
    <w:rsid w:val="4F4C65AA"/>
    <w:rsid w:val="4F535A2C"/>
    <w:rsid w:val="4F5E223B"/>
    <w:rsid w:val="4F797569"/>
    <w:rsid w:val="4F8F2BCF"/>
    <w:rsid w:val="4FC54B5F"/>
    <w:rsid w:val="4FF7CB11"/>
    <w:rsid w:val="500D6447"/>
    <w:rsid w:val="50644E04"/>
    <w:rsid w:val="50AA3FCB"/>
    <w:rsid w:val="50D164CB"/>
    <w:rsid w:val="50E26083"/>
    <w:rsid w:val="511D3C37"/>
    <w:rsid w:val="51502E1C"/>
    <w:rsid w:val="517A5ACB"/>
    <w:rsid w:val="517E2AEC"/>
    <w:rsid w:val="518A654A"/>
    <w:rsid w:val="51CE3D50"/>
    <w:rsid w:val="51D74772"/>
    <w:rsid w:val="51E02EBE"/>
    <w:rsid w:val="522F0C18"/>
    <w:rsid w:val="52567C51"/>
    <w:rsid w:val="529F2209"/>
    <w:rsid w:val="530C4E11"/>
    <w:rsid w:val="533C1A04"/>
    <w:rsid w:val="53651C9B"/>
    <w:rsid w:val="5368695D"/>
    <w:rsid w:val="53910582"/>
    <w:rsid w:val="53B00464"/>
    <w:rsid w:val="542E5D0A"/>
    <w:rsid w:val="5440135F"/>
    <w:rsid w:val="54870D96"/>
    <w:rsid w:val="54E47A07"/>
    <w:rsid w:val="54F96145"/>
    <w:rsid w:val="552217A5"/>
    <w:rsid w:val="553B52CB"/>
    <w:rsid w:val="55C80B09"/>
    <w:rsid w:val="56770A42"/>
    <w:rsid w:val="56952CE3"/>
    <w:rsid w:val="56CB4771"/>
    <w:rsid w:val="56EC03CC"/>
    <w:rsid w:val="571D1773"/>
    <w:rsid w:val="57906C0D"/>
    <w:rsid w:val="579D1A45"/>
    <w:rsid w:val="579E6B52"/>
    <w:rsid w:val="57E25391"/>
    <w:rsid w:val="58F87DF6"/>
    <w:rsid w:val="59683F77"/>
    <w:rsid w:val="5972690E"/>
    <w:rsid w:val="59803066"/>
    <w:rsid w:val="59943F04"/>
    <w:rsid w:val="59977C55"/>
    <w:rsid w:val="59AC7FD5"/>
    <w:rsid w:val="59B40498"/>
    <w:rsid w:val="59D6E01C"/>
    <w:rsid w:val="59EE6DE2"/>
    <w:rsid w:val="59F022A9"/>
    <w:rsid w:val="5AB46297"/>
    <w:rsid w:val="5AC57B29"/>
    <w:rsid w:val="5B145095"/>
    <w:rsid w:val="5B4C54CA"/>
    <w:rsid w:val="5B580643"/>
    <w:rsid w:val="5B7028E9"/>
    <w:rsid w:val="5B7A34E7"/>
    <w:rsid w:val="5BC519A7"/>
    <w:rsid w:val="5BC9699E"/>
    <w:rsid w:val="5C3603ED"/>
    <w:rsid w:val="5C6C5017"/>
    <w:rsid w:val="5C740B7C"/>
    <w:rsid w:val="5C9D582D"/>
    <w:rsid w:val="5CE635E7"/>
    <w:rsid w:val="5CEF59C6"/>
    <w:rsid w:val="5D14660E"/>
    <w:rsid w:val="5DBB0936"/>
    <w:rsid w:val="5DDBAF25"/>
    <w:rsid w:val="5DE231F3"/>
    <w:rsid w:val="5E0847A3"/>
    <w:rsid w:val="5E3D72B3"/>
    <w:rsid w:val="5E8F2D26"/>
    <w:rsid w:val="5E9F7860"/>
    <w:rsid w:val="5ECF6D83"/>
    <w:rsid w:val="5EE15EFC"/>
    <w:rsid w:val="5EFC0565"/>
    <w:rsid w:val="5EFE4143"/>
    <w:rsid w:val="5F6B2B4A"/>
    <w:rsid w:val="5F9600F6"/>
    <w:rsid w:val="5FDC5DC5"/>
    <w:rsid w:val="5FE06E9B"/>
    <w:rsid w:val="5FE53009"/>
    <w:rsid w:val="5FF9445A"/>
    <w:rsid w:val="6027006A"/>
    <w:rsid w:val="60B12927"/>
    <w:rsid w:val="60FB6724"/>
    <w:rsid w:val="6107382D"/>
    <w:rsid w:val="613C721F"/>
    <w:rsid w:val="61527DE6"/>
    <w:rsid w:val="61A21F19"/>
    <w:rsid w:val="61C60991"/>
    <w:rsid w:val="61D42ACD"/>
    <w:rsid w:val="62006D6B"/>
    <w:rsid w:val="62420DC0"/>
    <w:rsid w:val="62901121"/>
    <w:rsid w:val="62B775B3"/>
    <w:rsid w:val="62BA33B8"/>
    <w:rsid w:val="634412A8"/>
    <w:rsid w:val="63A03734"/>
    <w:rsid w:val="63C54109"/>
    <w:rsid w:val="63DA03E2"/>
    <w:rsid w:val="63F925FF"/>
    <w:rsid w:val="642C4898"/>
    <w:rsid w:val="647A736A"/>
    <w:rsid w:val="64CB76F1"/>
    <w:rsid w:val="64D03E6B"/>
    <w:rsid w:val="65421BD6"/>
    <w:rsid w:val="65697B5D"/>
    <w:rsid w:val="65715E6A"/>
    <w:rsid w:val="659F016A"/>
    <w:rsid w:val="660016CE"/>
    <w:rsid w:val="6652651B"/>
    <w:rsid w:val="66DA0AF7"/>
    <w:rsid w:val="66E52B1E"/>
    <w:rsid w:val="6705468C"/>
    <w:rsid w:val="67101989"/>
    <w:rsid w:val="672E5028"/>
    <w:rsid w:val="674818D9"/>
    <w:rsid w:val="678E3DCE"/>
    <w:rsid w:val="67A03A40"/>
    <w:rsid w:val="67CF2E29"/>
    <w:rsid w:val="68B43AD8"/>
    <w:rsid w:val="68B85E13"/>
    <w:rsid w:val="68CF7A47"/>
    <w:rsid w:val="691A593F"/>
    <w:rsid w:val="699E0A29"/>
    <w:rsid w:val="6A0A49C2"/>
    <w:rsid w:val="6A14304A"/>
    <w:rsid w:val="6A70611F"/>
    <w:rsid w:val="6ABF1264"/>
    <w:rsid w:val="6ACD24F0"/>
    <w:rsid w:val="6B064F51"/>
    <w:rsid w:val="6B3A4217"/>
    <w:rsid w:val="6BD766A3"/>
    <w:rsid w:val="6BDF5B24"/>
    <w:rsid w:val="6C617BA7"/>
    <w:rsid w:val="6C7A41E7"/>
    <w:rsid w:val="6C8C5EC8"/>
    <w:rsid w:val="6C9905DA"/>
    <w:rsid w:val="6CA66A1C"/>
    <w:rsid w:val="6CF037BA"/>
    <w:rsid w:val="6CFB9AE2"/>
    <w:rsid w:val="6D017EA1"/>
    <w:rsid w:val="6D3A7B2D"/>
    <w:rsid w:val="6D404022"/>
    <w:rsid w:val="6D474B62"/>
    <w:rsid w:val="6D7B053B"/>
    <w:rsid w:val="6D89685F"/>
    <w:rsid w:val="6DA03836"/>
    <w:rsid w:val="6DA3C03C"/>
    <w:rsid w:val="6DD2684C"/>
    <w:rsid w:val="6DF15978"/>
    <w:rsid w:val="6E280CD5"/>
    <w:rsid w:val="6E4C5376"/>
    <w:rsid w:val="6E681AD6"/>
    <w:rsid w:val="6E8122A2"/>
    <w:rsid w:val="6E815BC0"/>
    <w:rsid w:val="6E8C42D2"/>
    <w:rsid w:val="6E907ADE"/>
    <w:rsid w:val="6EDC027F"/>
    <w:rsid w:val="6EFC1923"/>
    <w:rsid w:val="6F799634"/>
    <w:rsid w:val="6FBCE23F"/>
    <w:rsid w:val="6FCE6B42"/>
    <w:rsid w:val="6FDBB3CD"/>
    <w:rsid w:val="6FEF803F"/>
    <w:rsid w:val="6FFF4EF6"/>
    <w:rsid w:val="70043820"/>
    <w:rsid w:val="70064751"/>
    <w:rsid w:val="702909C2"/>
    <w:rsid w:val="704F78B8"/>
    <w:rsid w:val="70792A8E"/>
    <w:rsid w:val="7082415B"/>
    <w:rsid w:val="708E2E66"/>
    <w:rsid w:val="70BE3782"/>
    <w:rsid w:val="70BF6E84"/>
    <w:rsid w:val="70D76ADB"/>
    <w:rsid w:val="71737F7A"/>
    <w:rsid w:val="717C2DCC"/>
    <w:rsid w:val="71AB1C55"/>
    <w:rsid w:val="721511AB"/>
    <w:rsid w:val="72281C30"/>
    <w:rsid w:val="72644BAC"/>
    <w:rsid w:val="72670A24"/>
    <w:rsid w:val="72695FD9"/>
    <w:rsid w:val="726A77EC"/>
    <w:rsid w:val="729F6185"/>
    <w:rsid w:val="735A6193"/>
    <w:rsid w:val="73AE486D"/>
    <w:rsid w:val="73B7C1EC"/>
    <w:rsid w:val="73D23A1C"/>
    <w:rsid w:val="73E019E2"/>
    <w:rsid w:val="73F7BCD4"/>
    <w:rsid w:val="74223A0A"/>
    <w:rsid w:val="74E21053"/>
    <w:rsid w:val="750523BE"/>
    <w:rsid w:val="751E5E65"/>
    <w:rsid w:val="755E7EBC"/>
    <w:rsid w:val="756A17C6"/>
    <w:rsid w:val="75AB3F55"/>
    <w:rsid w:val="75AD5A22"/>
    <w:rsid w:val="75D43A11"/>
    <w:rsid w:val="75F02B20"/>
    <w:rsid w:val="75F99A8A"/>
    <w:rsid w:val="766F52AB"/>
    <w:rsid w:val="76A41FCD"/>
    <w:rsid w:val="76AA7277"/>
    <w:rsid w:val="76BFAA99"/>
    <w:rsid w:val="76CE772B"/>
    <w:rsid w:val="770C1455"/>
    <w:rsid w:val="774B4AF0"/>
    <w:rsid w:val="77575059"/>
    <w:rsid w:val="778046CF"/>
    <w:rsid w:val="7785178F"/>
    <w:rsid w:val="77913A50"/>
    <w:rsid w:val="77CDCD9A"/>
    <w:rsid w:val="77D6DA2A"/>
    <w:rsid w:val="77E96706"/>
    <w:rsid w:val="77ED88D4"/>
    <w:rsid w:val="77FF1FA5"/>
    <w:rsid w:val="7813F2CA"/>
    <w:rsid w:val="78CF1029"/>
    <w:rsid w:val="796545C6"/>
    <w:rsid w:val="79833E44"/>
    <w:rsid w:val="79A22C1B"/>
    <w:rsid w:val="79D070CD"/>
    <w:rsid w:val="79D34699"/>
    <w:rsid w:val="79E54C45"/>
    <w:rsid w:val="79EFF7E6"/>
    <w:rsid w:val="79F42E66"/>
    <w:rsid w:val="7A7941A2"/>
    <w:rsid w:val="7A99672E"/>
    <w:rsid w:val="7A9D1654"/>
    <w:rsid w:val="7AFFA00F"/>
    <w:rsid w:val="7B8C650A"/>
    <w:rsid w:val="7B8D3FE9"/>
    <w:rsid w:val="7B993BE4"/>
    <w:rsid w:val="7BA33373"/>
    <w:rsid w:val="7C4D7758"/>
    <w:rsid w:val="7C7A6EE2"/>
    <w:rsid w:val="7C8810E0"/>
    <w:rsid w:val="7C9152A7"/>
    <w:rsid w:val="7CFB6A05"/>
    <w:rsid w:val="7D0F77F8"/>
    <w:rsid w:val="7D4449AD"/>
    <w:rsid w:val="7DA70F2C"/>
    <w:rsid w:val="7DAA6C39"/>
    <w:rsid w:val="7DAE7C6D"/>
    <w:rsid w:val="7DED36F1"/>
    <w:rsid w:val="7E11270A"/>
    <w:rsid w:val="7E15060D"/>
    <w:rsid w:val="7E285309"/>
    <w:rsid w:val="7E3408C2"/>
    <w:rsid w:val="7E5A2870"/>
    <w:rsid w:val="7EFD4507"/>
    <w:rsid w:val="7F192832"/>
    <w:rsid w:val="7F3BDD90"/>
    <w:rsid w:val="7F3F6BF0"/>
    <w:rsid w:val="7F6D7B6C"/>
    <w:rsid w:val="7F7728BF"/>
    <w:rsid w:val="7F77898F"/>
    <w:rsid w:val="7F7A80FD"/>
    <w:rsid w:val="7FA8D8F8"/>
    <w:rsid w:val="7FBF7AD4"/>
    <w:rsid w:val="7FD59017"/>
    <w:rsid w:val="7FE3457F"/>
    <w:rsid w:val="8CF26CE1"/>
    <w:rsid w:val="8F5D34F0"/>
    <w:rsid w:val="967C8902"/>
    <w:rsid w:val="99FAF632"/>
    <w:rsid w:val="AD9796A5"/>
    <w:rsid w:val="AE360A9C"/>
    <w:rsid w:val="AE9B5828"/>
    <w:rsid w:val="B16FA7E2"/>
    <w:rsid w:val="B5DE620F"/>
    <w:rsid w:val="B7ED91E0"/>
    <w:rsid w:val="B7EF8654"/>
    <w:rsid w:val="B7FDC13C"/>
    <w:rsid w:val="BBED1BC1"/>
    <w:rsid w:val="BEDFCF05"/>
    <w:rsid w:val="BFF34E4B"/>
    <w:rsid w:val="C776B774"/>
    <w:rsid w:val="CF7AEDDB"/>
    <w:rsid w:val="D2F717D9"/>
    <w:rsid w:val="D9B412FC"/>
    <w:rsid w:val="DAC7ADD4"/>
    <w:rsid w:val="DB5DFF66"/>
    <w:rsid w:val="DB6D2D51"/>
    <w:rsid w:val="DE7F0A0C"/>
    <w:rsid w:val="DFC9F7E1"/>
    <w:rsid w:val="DFFC18C5"/>
    <w:rsid w:val="E5FFD520"/>
    <w:rsid w:val="E67B8D77"/>
    <w:rsid w:val="E6F7524B"/>
    <w:rsid w:val="E9ABC3FA"/>
    <w:rsid w:val="EEED2465"/>
    <w:rsid w:val="EF3DCBC0"/>
    <w:rsid w:val="EF7D8DBE"/>
    <w:rsid w:val="EFF98C89"/>
    <w:rsid w:val="F3FFDE54"/>
    <w:rsid w:val="F56BBEAA"/>
    <w:rsid w:val="F6B7F579"/>
    <w:rsid w:val="F6F576F6"/>
    <w:rsid w:val="F7F5D9BA"/>
    <w:rsid w:val="FA53DE79"/>
    <w:rsid w:val="FA9FA5A0"/>
    <w:rsid w:val="FB4A6E9D"/>
    <w:rsid w:val="FB5BD1CE"/>
    <w:rsid w:val="FBB1B131"/>
    <w:rsid w:val="FCFF5499"/>
    <w:rsid w:val="FDDE5B27"/>
    <w:rsid w:val="FDF7EED9"/>
    <w:rsid w:val="FE7E3559"/>
    <w:rsid w:val="FEDD92AC"/>
    <w:rsid w:val="FEFF5A04"/>
    <w:rsid w:val="FF771254"/>
    <w:rsid w:val="FF7D12C6"/>
    <w:rsid w:val="FFAF416B"/>
    <w:rsid w:val="FFDB2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Times New Roman" w:cs="Arial"/>
      <w:sz w:val="36"/>
      <w:szCs w:val="36"/>
      <w:lang w:val="en-GB"/>
    </w:rPr>
  </w:style>
  <w:style w:type="paragraph" w:styleId="3">
    <w:name w:val="heading 2"/>
    <w:basedOn w:val="2"/>
    <w:next w:val="1"/>
    <w:link w:val="48"/>
    <w:unhideWhenUsed/>
    <w:qFormat/>
    <w:uiPriority w:val="0"/>
    <w:pPr>
      <w:spacing w:before="260" w:after="260" w:line="413" w:lineRule="auto"/>
      <w:outlineLvl w:val="1"/>
    </w:pPr>
    <w:rPr>
      <w:rFonts w:eastAsia="黑体"/>
      <w:b/>
      <w:sz w:val="32"/>
    </w:rPr>
  </w:style>
  <w:style w:type="paragraph" w:styleId="4">
    <w:name w:val="heading 3"/>
    <w:basedOn w:val="3"/>
    <w:next w:val="1"/>
    <w:qFormat/>
    <w:uiPriority w:val="0"/>
    <w:pPr>
      <w:spacing w:before="120" w:line="260" w:lineRule="auto"/>
      <w:ind w:left="1429"/>
      <w:jc w:val="both"/>
      <w:outlineLvl w:val="2"/>
    </w:pPr>
    <w:rPr>
      <w:rFonts w:ascii="Times New Roman" w:hAnsi="Times New Roman" w:eastAsia="Calibri" w:cs="Times New Roman"/>
      <w:sz w:val="28"/>
      <w:szCs w:val="28"/>
      <w:lang w:eastAsia="en-US"/>
    </w:rPr>
  </w:style>
  <w:style w:type="paragraph" w:styleId="5">
    <w:name w:val="heading 4"/>
    <w:basedOn w:val="4"/>
    <w:next w:val="1"/>
    <w:link w:val="41"/>
    <w:unhideWhenUsed/>
    <w:qFormat/>
    <w:uiPriority w:val="0"/>
    <w:pPr>
      <w:spacing w:before="280" w:after="290" w:line="376" w:lineRule="auto"/>
      <w:outlineLvl w:val="3"/>
    </w:pPr>
    <w:rPr>
      <w:rFonts w:asciiTheme="majorHAnsi" w:hAnsiTheme="majorHAnsi" w:eastAsiaTheme="majorEastAsia" w:cstheme="majorBidi"/>
      <w:bCs/>
    </w:rPr>
  </w:style>
  <w:style w:type="paragraph" w:styleId="6">
    <w:name w:val="heading 5"/>
    <w:basedOn w:val="5"/>
    <w:next w:val="1"/>
    <w:semiHidden/>
    <w:unhideWhenUsed/>
    <w:qFormat/>
    <w:uiPriority w:val="0"/>
    <w:pPr>
      <w:spacing w:line="372" w:lineRule="auto"/>
      <w:outlineLvl w:val="4"/>
    </w:pPr>
  </w:style>
  <w:style w:type="character" w:default="1" w:styleId="20">
    <w:name w:val="Default Paragraph Font"/>
    <w:semiHidden/>
    <w:unhideWhenUsed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3"/>
    <w:basedOn w:val="8"/>
    <w:qFormat/>
    <w:uiPriority w:val="0"/>
    <w:pPr>
      <w:ind w:left="1135"/>
    </w:pPr>
  </w:style>
  <w:style w:type="paragraph" w:styleId="8">
    <w:name w:val="List 2"/>
    <w:basedOn w:val="9"/>
    <w:qFormat/>
    <w:uiPriority w:val="0"/>
    <w:pPr>
      <w:ind w:left="851"/>
    </w:pPr>
  </w:style>
  <w:style w:type="paragraph" w:styleId="9">
    <w:name w:val="List"/>
    <w:basedOn w:val="1"/>
    <w:qFormat/>
    <w:uiPriority w:val="0"/>
    <w:pPr>
      <w:ind w:left="568" w:hanging="284"/>
    </w:pPr>
  </w:style>
  <w:style w:type="paragraph" w:styleId="10">
    <w:name w:val="caption"/>
    <w:basedOn w:val="1"/>
    <w:next w:val="1"/>
    <w:qFormat/>
    <w:uiPriority w:val="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eastAsia="宋体" w:cs="Times New Roman"/>
      <w:b/>
      <w:bCs/>
      <w:kern w:val="2"/>
      <w:sz w:val="20"/>
      <w:szCs w:val="20"/>
      <w:lang w:val="en-GB"/>
    </w:rPr>
  </w:style>
  <w:style w:type="paragraph" w:styleId="11">
    <w:name w:val="annotation text"/>
    <w:basedOn w:val="1"/>
    <w:link w:val="33"/>
    <w:qFormat/>
    <w:uiPriority w:val="0"/>
  </w:style>
  <w:style w:type="paragraph" w:styleId="12">
    <w:name w:val="Body Text"/>
    <w:basedOn w:val="1"/>
    <w:link w:val="47"/>
    <w:qFormat/>
    <w:uiPriority w:val="0"/>
    <w:pPr>
      <w:spacing w:after="120"/>
      <w:jc w:val="both"/>
    </w:pPr>
    <w:rPr>
      <w:rFonts w:eastAsia="MS Mincho"/>
    </w:rPr>
  </w:style>
  <w:style w:type="paragraph" w:styleId="13">
    <w:name w:val="Balloon Text"/>
    <w:basedOn w:val="1"/>
    <w:link w:val="24"/>
    <w:qFormat/>
    <w:uiPriority w:val="0"/>
    <w:pPr>
      <w:spacing w:after="0" w:line="240" w:lineRule="auto"/>
    </w:pPr>
    <w:rPr>
      <w:sz w:val="18"/>
      <w:szCs w:val="18"/>
    </w:rPr>
  </w:style>
  <w:style w:type="paragraph" w:styleId="14">
    <w:name w:val="footer"/>
    <w:basedOn w:val="1"/>
    <w:link w:val="36"/>
    <w:qFormat/>
    <w:uiPriority w:val="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5">
    <w:name w:val="header"/>
    <w:basedOn w:val="1"/>
    <w:link w:val="3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6">
    <w:name w:val="Normal (Web)"/>
    <w:basedOn w:val="1"/>
    <w:qFormat/>
    <w:uiPriority w:val="0"/>
    <w:pPr>
      <w:spacing w:beforeAutospacing="1" w:after="0" w:afterAutospacing="1"/>
    </w:pPr>
    <w:rPr>
      <w:rFonts w:cs="Times New Roman"/>
      <w:sz w:val="24"/>
    </w:rPr>
  </w:style>
  <w:style w:type="paragraph" w:styleId="17">
    <w:name w:val="annotation subject"/>
    <w:basedOn w:val="11"/>
    <w:next w:val="11"/>
    <w:link w:val="34"/>
    <w:qFormat/>
    <w:uiPriority w:val="0"/>
    <w:rPr>
      <w:b/>
      <w:bCs/>
    </w:rPr>
  </w:style>
  <w:style w:type="table" w:styleId="19">
    <w:name w:val="Table Grid"/>
    <w:basedOn w:val="1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page number"/>
    <w:unhideWhenUsed/>
    <w:qFormat/>
    <w:uiPriority w:val="0"/>
    <w:rPr>
      <w:rFonts w:hint="default" w:ascii="Arial" w:hAnsi="Arial" w:eastAsia="宋体"/>
      <w:color w:val="0000FF"/>
      <w:kern w:val="2"/>
      <w:sz w:val="24"/>
      <w:lang w:val="en-US" w:eastAsia="zh-CN"/>
    </w:rPr>
  </w:style>
  <w:style w:type="character" w:styleId="22">
    <w:name w:val="Emphasis"/>
    <w:basedOn w:val="20"/>
    <w:qFormat/>
    <w:uiPriority w:val="0"/>
    <w:rPr>
      <w:i/>
    </w:rPr>
  </w:style>
  <w:style w:type="character" w:styleId="23">
    <w:name w:val="annotation reference"/>
    <w:basedOn w:val="20"/>
    <w:qFormat/>
    <w:uiPriority w:val="0"/>
    <w:rPr>
      <w:sz w:val="21"/>
      <w:szCs w:val="21"/>
    </w:rPr>
  </w:style>
  <w:style w:type="character" w:customStyle="1" w:styleId="24">
    <w:name w:val="批注框文本 字符"/>
    <w:basedOn w:val="20"/>
    <w:link w:val="13"/>
    <w:qFormat/>
    <w:uiPriority w:val="0"/>
    <w:rPr>
      <w:sz w:val="18"/>
      <w:szCs w:val="18"/>
    </w:rPr>
  </w:style>
  <w:style w:type="paragraph" w:customStyle="1" w:styleId="25">
    <w:name w:val="Proposal"/>
    <w:basedOn w:val="1"/>
    <w:qFormat/>
    <w:uiPriority w:val="0"/>
    <w:pPr>
      <w:widowControl w:val="0"/>
      <w:tabs>
        <w:tab w:val="left" w:pos="1304"/>
        <w:tab w:val="left" w:pos="1701"/>
      </w:tabs>
      <w:spacing w:after="0" w:line="240" w:lineRule="auto"/>
      <w:ind w:left="1304" w:hanging="1304"/>
      <w:jc w:val="both"/>
    </w:pPr>
    <w:rPr>
      <w:rFonts w:eastAsia="宋体"/>
      <w:b/>
      <w:bCs/>
      <w:kern w:val="2"/>
      <w:sz w:val="21"/>
    </w:rPr>
  </w:style>
  <w:style w:type="paragraph" w:customStyle="1" w:styleId="26">
    <w:name w:val="3GPP_Header"/>
    <w:basedOn w:val="1"/>
    <w:qFormat/>
    <w:uiPriority w:val="0"/>
    <w:pPr>
      <w:widowControl w:val="0"/>
      <w:tabs>
        <w:tab w:val="left" w:pos="1800"/>
        <w:tab w:val="right" w:pos="9360"/>
      </w:tabs>
      <w:spacing w:after="0" w:line="240" w:lineRule="auto"/>
      <w:jc w:val="both"/>
    </w:pPr>
    <w:rPr>
      <w:rFonts w:ascii="Arial" w:hAnsi="Arial" w:eastAsia="宋体"/>
      <w:b/>
      <w:kern w:val="2"/>
      <w:sz w:val="21"/>
    </w:rPr>
  </w:style>
  <w:style w:type="paragraph" w:customStyle="1" w:styleId="2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28">
    <w:name w:val="List Paragraph1"/>
    <w:basedOn w:val="1"/>
    <w:qFormat/>
    <w:uiPriority w:val="34"/>
    <w:pPr>
      <w:ind w:left="720"/>
      <w:contextualSpacing/>
    </w:pPr>
  </w:style>
  <w:style w:type="paragraph" w:customStyle="1" w:styleId="29">
    <w:name w:val="TAH"/>
    <w:basedOn w:val="30"/>
    <w:qFormat/>
    <w:uiPriority w:val="0"/>
    <w:rPr>
      <w:b/>
    </w:rPr>
  </w:style>
  <w:style w:type="paragraph" w:customStyle="1" w:styleId="30">
    <w:name w:val="TAC"/>
    <w:basedOn w:val="31"/>
    <w:qFormat/>
    <w:uiPriority w:val="0"/>
    <w:pPr>
      <w:jc w:val="center"/>
    </w:pPr>
  </w:style>
  <w:style w:type="paragraph" w:customStyle="1" w:styleId="3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styleId="32">
    <w:name w:val="List Paragraph"/>
    <w:basedOn w:val="1"/>
    <w:qFormat/>
    <w:uiPriority w:val="34"/>
    <w:pPr>
      <w:ind w:left="840" w:leftChars="400"/>
    </w:pPr>
  </w:style>
  <w:style w:type="character" w:customStyle="1" w:styleId="33">
    <w:name w:val="批注文字 字符"/>
    <w:basedOn w:val="20"/>
    <w:link w:val="11"/>
    <w:qFormat/>
    <w:uiPriority w:val="0"/>
    <w:rPr>
      <w:sz w:val="22"/>
      <w:szCs w:val="22"/>
    </w:rPr>
  </w:style>
  <w:style w:type="character" w:customStyle="1" w:styleId="34">
    <w:name w:val="批注主题 字符"/>
    <w:basedOn w:val="33"/>
    <w:link w:val="17"/>
    <w:qFormat/>
    <w:uiPriority w:val="0"/>
    <w:rPr>
      <w:b/>
      <w:bCs/>
      <w:sz w:val="22"/>
      <w:szCs w:val="22"/>
    </w:rPr>
  </w:style>
  <w:style w:type="character" w:customStyle="1" w:styleId="35">
    <w:name w:val="页眉 字符"/>
    <w:basedOn w:val="20"/>
    <w:link w:val="15"/>
    <w:qFormat/>
    <w:uiPriority w:val="0"/>
    <w:rPr>
      <w:sz w:val="18"/>
      <w:szCs w:val="18"/>
    </w:rPr>
  </w:style>
  <w:style w:type="character" w:customStyle="1" w:styleId="36">
    <w:name w:val="页脚 字符"/>
    <w:basedOn w:val="20"/>
    <w:link w:val="14"/>
    <w:qFormat/>
    <w:uiPriority w:val="0"/>
    <w:rPr>
      <w:sz w:val="18"/>
      <w:szCs w:val="18"/>
    </w:rPr>
  </w:style>
  <w:style w:type="paragraph" w:customStyle="1" w:styleId="37">
    <w:name w:val="B1"/>
    <w:basedOn w:val="9"/>
    <w:link w:val="45"/>
    <w:qFormat/>
    <w:uiPriority w:val="0"/>
  </w:style>
  <w:style w:type="paragraph" w:customStyle="1" w:styleId="38">
    <w:name w:val="NO"/>
    <w:basedOn w:val="1"/>
    <w:qFormat/>
    <w:uiPriority w:val="0"/>
    <w:pPr>
      <w:keepLines/>
      <w:ind w:left="1135" w:hanging="851"/>
    </w:pPr>
  </w:style>
  <w:style w:type="paragraph" w:customStyle="1" w:styleId="39">
    <w:name w:val="修订1"/>
    <w:hidden/>
    <w:semiHidden/>
    <w:qFormat/>
    <w:uiPriority w:val="99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customStyle="1" w:styleId="40">
    <w:name w:val="修订2"/>
    <w:hidden/>
    <w:semiHidden/>
    <w:qFormat/>
    <w:uiPriority w:val="99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41">
    <w:name w:val="标题 4 字符"/>
    <w:basedOn w:val="20"/>
    <w:link w:val="5"/>
    <w:qFormat/>
    <w:uiPriority w:val="0"/>
    <w:rPr>
      <w:rFonts w:asciiTheme="majorHAnsi" w:hAnsiTheme="majorHAnsi" w:eastAsiaTheme="majorEastAsia" w:cstheme="majorBidi"/>
      <w:b/>
      <w:bCs/>
      <w:sz w:val="28"/>
      <w:szCs w:val="28"/>
    </w:rPr>
  </w:style>
  <w:style w:type="paragraph" w:customStyle="1" w:styleId="42">
    <w:name w:val="修订3"/>
    <w:hidden/>
    <w:semiHidden/>
    <w:qFormat/>
    <w:uiPriority w:val="99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customStyle="1" w:styleId="43">
    <w:name w:val="PatApp Body"/>
    <w:basedOn w:val="1"/>
    <w:qFormat/>
    <w:uiPriority w:val="0"/>
    <w:pPr>
      <w:numPr>
        <w:ilvl w:val="0"/>
        <w:numId w:val="2"/>
      </w:numPr>
      <w:spacing w:line="480" w:lineRule="auto"/>
    </w:pPr>
    <w:rPr>
      <w:rFonts w:ascii="Times New Roman" w:hAnsi="Times New Roman" w:eastAsia="Times New Roman" w:cs="Times New Roman"/>
      <w:snapToGrid w:val="0"/>
      <w:sz w:val="24"/>
      <w:szCs w:val="20"/>
      <w:lang w:eastAsia="en-US"/>
    </w:rPr>
  </w:style>
  <w:style w:type="paragraph" w:customStyle="1" w:styleId="44">
    <w:name w:val="B2"/>
    <w:basedOn w:val="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45">
    <w:name w:val="B1 Char1"/>
    <w:link w:val="37"/>
    <w:qFormat/>
    <w:uiPriority w:val="0"/>
    <w:rPr>
      <w:rFonts w:asciiTheme="minorHAnsi" w:hAnsiTheme="minorHAnsi" w:eastAsiaTheme="minorEastAsia" w:cstheme="minorBidi"/>
      <w:sz w:val="22"/>
      <w:szCs w:val="22"/>
    </w:rPr>
  </w:style>
  <w:style w:type="paragraph" w:customStyle="1" w:styleId="46">
    <w:name w:val="修订4"/>
    <w:hidden/>
    <w:semiHidden/>
    <w:qFormat/>
    <w:uiPriority w:val="99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47">
    <w:name w:val="正文文本 字符"/>
    <w:basedOn w:val="20"/>
    <w:link w:val="12"/>
    <w:qFormat/>
    <w:uiPriority w:val="0"/>
    <w:rPr>
      <w:rFonts w:eastAsia="MS Mincho" w:asciiTheme="minorHAnsi" w:hAnsiTheme="minorHAnsi" w:cstheme="minorBidi"/>
      <w:sz w:val="22"/>
      <w:szCs w:val="22"/>
    </w:rPr>
  </w:style>
  <w:style w:type="character" w:customStyle="1" w:styleId="48">
    <w:name w:val="标题 2 字符"/>
    <w:basedOn w:val="20"/>
    <w:link w:val="3"/>
    <w:qFormat/>
    <w:uiPriority w:val="0"/>
    <w:rPr>
      <w:rFonts w:ascii="Arial" w:hAnsi="Arial" w:eastAsia="黑体" w:cstheme="minorBidi"/>
      <w:b/>
      <w:sz w:val="32"/>
      <w:szCs w:val="22"/>
    </w:rPr>
  </w:style>
  <w:style w:type="paragraph" w:customStyle="1" w:styleId="49">
    <w:name w:val="PL"/>
    <w:link w:val="50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50">
    <w:name w:val="PL Char"/>
    <w:link w:val="49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51">
    <w:name w:val="修订5"/>
    <w:hidden/>
    <w:semiHidden/>
    <w:qFormat/>
    <w:uiPriority w:val="99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customStyle="1" w:styleId="52">
    <w:name w:val="TF"/>
    <w:basedOn w:val="27"/>
    <w:qFormat/>
    <w:uiPriority w:val="0"/>
    <w:pPr>
      <w:keepNext w:val="0"/>
      <w:spacing w:before="0" w:after="240"/>
    </w:pPr>
  </w:style>
  <w:style w:type="paragraph" w:customStyle="1" w:styleId="53">
    <w:name w:val="B3"/>
    <w:basedOn w:val="7"/>
    <w:qFormat/>
    <w:uiPriority w:val="0"/>
  </w:style>
  <w:style w:type="paragraph" w:customStyle="1" w:styleId="54">
    <w:name w:val="CR Cover Page"/>
    <w:link w:val="55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en-US" w:bidi="ar-SA"/>
    </w:rPr>
  </w:style>
  <w:style w:type="character" w:customStyle="1" w:styleId="55">
    <w:name w:val="CR Cover Page Char"/>
    <w:link w:val="54"/>
    <w:qFormat/>
    <w:uiPriority w:val="0"/>
    <w:rPr>
      <w:rFonts w:ascii="Arial" w:hAnsi="Arial" w:eastAsia="MS Mincho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1840</Words>
  <Characters>10492</Characters>
  <Lines>87</Lines>
  <Paragraphs>24</Paragraphs>
  <TotalTime>26</TotalTime>
  <ScaleCrop>false</ScaleCrop>
  <LinksUpToDate>false</LinksUpToDate>
  <CharactersWithSpaces>12308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2025-05-08T01:59:00Z</dcterms:created>
  <dc:creator>张楠10184108</dc:creator>
  <cp:lastModifiedBy>ZTE-Fangyu</cp:lastModifiedBy>
  <dcterms:modified xsi:type="dcterms:W3CDTF">2025-08-14T08:53:51Z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47FAA59394F744B5A77564E8E468B4AC</vt:lpwstr>
  </property>
</Properties>
</file>